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8A052" w14:textId="5825E308" w:rsidR="002A57D3" w:rsidRPr="0009657C" w:rsidRDefault="002A57D3" w:rsidP="00CF61DC">
      <w:pPr>
        <w:tabs>
          <w:tab w:val="left" w:pos="9072"/>
        </w:tabs>
        <w:suppressAutoHyphens/>
        <w:spacing w:line="300" w:lineRule="exact"/>
        <w:ind w:right="284"/>
        <w:jc w:val="both"/>
        <w:rPr>
          <w:rFonts w:ascii="CorpoS" w:hAnsi="CorpoS"/>
          <w:b/>
          <w:sz w:val="22"/>
          <w:szCs w:val="22"/>
          <w:lang w:val="en-US"/>
        </w:rPr>
      </w:pPr>
      <w:r w:rsidRPr="0009657C">
        <w:rPr>
          <w:rFonts w:ascii="CorpoS" w:hAnsi="CorpoS"/>
          <w:b/>
          <w:sz w:val="22"/>
          <w:szCs w:val="22"/>
          <w:lang w:val="en-US"/>
        </w:rPr>
        <w:t xml:space="preserve">MTU Aero Engines </w:t>
      </w:r>
      <w:r w:rsidR="0009657C">
        <w:rPr>
          <w:rFonts w:ascii="CorpoS" w:hAnsi="CorpoS"/>
          <w:b/>
          <w:sz w:val="22"/>
          <w:szCs w:val="22"/>
          <w:lang w:val="en-US"/>
        </w:rPr>
        <w:t xml:space="preserve">slightly </w:t>
      </w:r>
      <w:r w:rsidR="00242BD9">
        <w:rPr>
          <w:rFonts w:ascii="CorpoS" w:hAnsi="CorpoS"/>
          <w:b/>
          <w:sz w:val="22"/>
          <w:szCs w:val="22"/>
          <w:lang w:val="en-US"/>
        </w:rPr>
        <w:t>raises</w:t>
      </w:r>
      <w:r w:rsidR="0009657C">
        <w:rPr>
          <w:rFonts w:ascii="CorpoS" w:hAnsi="CorpoS"/>
          <w:b/>
          <w:sz w:val="22"/>
          <w:szCs w:val="22"/>
          <w:lang w:val="en-US"/>
        </w:rPr>
        <w:t xml:space="preserve"> earnings forecast </w:t>
      </w:r>
      <w:r w:rsidR="003347D1">
        <w:rPr>
          <w:rFonts w:ascii="CorpoS" w:hAnsi="CorpoS"/>
          <w:b/>
          <w:sz w:val="22"/>
          <w:szCs w:val="22"/>
          <w:lang w:val="en-US"/>
        </w:rPr>
        <w:t>following nine-month results</w:t>
      </w:r>
    </w:p>
    <w:p w14:paraId="478B2EDF" w14:textId="77777777" w:rsidR="002A57D3" w:rsidRPr="0009657C" w:rsidRDefault="0009657C" w:rsidP="00CF61DC">
      <w:pPr>
        <w:numPr>
          <w:ilvl w:val="0"/>
          <w:numId w:val="11"/>
        </w:numPr>
        <w:tabs>
          <w:tab w:val="left" w:pos="9072"/>
        </w:tabs>
        <w:suppressAutoHyphens/>
        <w:spacing w:line="300" w:lineRule="exact"/>
        <w:ind w:right="283"/>
        <w:jc w:val="both"/>
        <w:rPr>
          <w:rFonts w:ascii="CorpoS" w:hAnsi="CorpoS"/>
          <w:b/>
          <w:sz w:val="22"/>
          <w:szCs w:val="22"/>
          <w:lang w:val="en-US"/>
        </w:rPr>
      </w:pPr>
      <w:r>
        <w:rPr>
          <w:rFonts w:ascii="CorpoS" w:hAnsi="CorpoS"/>
          <w:b/>
          <w:sz w:val="22"/>
          <w:szCs w:val="22"/>
          <w:lang w:val="en-US"/>
        </w:rPr>
        <w:t>2016 o</w:t>
      </w:r>
      <w:r w:rsidRPr="00582EE2">
        <w:rPr>
          <w:rFonts w:ascii="CorpoS" w:hAnsi="CorpoS"/>
          <w:b/>
          <w:sz w:val="22"/>
          <w:szCs w:val="22"/>
          <w:lang w:val="en-US"/>
        </w:rPr>
        <w:t>perati</w:t>
      </w:r>
      <w:r>
        <w:rPr>
          <w:rFonts w:ascii="CorpoS" w:hAnsi="CorpoS"/>
          <w:b/>
          <w:sz w:val="22"/>
          <w:szCs w:val="22"/>
          <w:lang w:val="en-US"/>
        </w:rPr>
        <w:t>ng profit expected to reach around €500 million</w:t>
      </w:r>
    </w:p>
    <w:p w14:paraId="41920CFC" w14:textId="77777777" w:rsidR="00050992" w:rsidRPr="0009657C" w:rsidRDefault="0009657C" w:rsidP="00CF61DC">
      <w:pPr>
        <w:numPr>
          <w:ilvl w:val="0"/>
          <w:numId w:val="11"/>
        </w:numPr>
        <w:tabs>
          <w:tab w:val="left" w:pos="9072"/>
        </w:tabs>
        <w:suppressAutoHyphens/>
        <w:spacing w:line="300" w:lineRule="exact"/>
        <w:ind w:right="283"/>
        <w:jc w:val="both"/>
        <w:rPr>
          <w:rFonts w:ascii="CorpoS" w:hAnsi="CorpoS"/>
          <w:b/>
          <w:sz w:val="22"/>
          <w:szCs w:val="22"/>
          <w:lang w:val="en-US"/>
        </w:rPr>
      </w:pPr>
      <w:r>
        <w:rPr>
          <w:rFonts w:ascii="CorpoS" w:hAnsi="CorpoS"/>
          <w:b/>
          <w:sz w:val="22"/>
          <w:szCs w:val="22"/>
          <w:lang w:val="en-US"/>
        </w:rPr>
        <w:t xml:space="preserve">Net income for the year estimated at </w:t>
      </w:r>
      <w:r w:rsidRPr="00582EE2">
        <w:rPr>
          <w:rFonts w:ascii="CorpoS" w:hAnsi="CorpoS"/>
          <w:b/>
          <w:sz w:val="22"/>
          <w:szCs w:val="22"/>
          <w:lang w:val="en-US"/>
        </w:rPr>
        <w:t>€</w:t>
      </w:r>
      <w:r>
        <w:rPr>
          <w:rFonts w:ascii="CorpoS" w:hAnsi="CorpoS"/>
          <w:b/>
          <w:sz w:val="22"/>
          <w:szCs w:val="22"/>
          <w:lang w:val="en-US"/>
        </w:rPr>
        <w:t>340</w:t>
      </w:r>
      <w:r w:rsidRPr="00582EE2">
        <w:rPr>
          <w:rFonts w:ascii="CorpoS" w:hAnsi="CorpoS"/>
          <w:b/>
          <w:sz w:val="22"/>
          <w:szCs w:val="22"/>
          <w:lang w:val="en-US"/>
        </w:rPr>
        <w:t xml:space="preserve"> </w:t>
      </w:r>
      <w:r>
        <w:rPr>
          <w:rFonts w:ascii="CorpoS" w:hAnsi="CorpoS"/>
          <w:b/>
          <w:sz w:val="22"/>
          <w:szCs w:val="22"/>
          <w:lang w:val="en-US"/>
        </w:rPr>
        <w:t>million</w:t>
      </w:r>
    </w:p>
    <w:p w14:paraId="1B08EF93" w14:textId="77777777" w:rsidR="00C51A14" w:rsidRPr="0009657C" w:rsidRDefault="00C51A14" w:rsidP="00CF61DC">
      <w:pPr>
        <w:tabs>
          <w:tab w:val="left" w:pos="9072"/>
        </w:tabs>
        <w:suppressAutoHyphens/>
        <w:spacing w:line="300" w:lineRule="exact"/>
        <w:ind w:right="283"/>
        <w:jc w:val="both"/>
        <w:rPr>
          <w:rFonts w:ascii="CorpoS" w:hAnsi="CorpoS"/>
          <w:b/>
          <w:sz w:val="22"/>
          <w:szCs w:val="22"/>
          <w:lang w:val="en-US"/>
        </w:rPr>
      </w:pPr>
    </w:p>
    <w:p w14:paraId="40DB8D94" w14:textId="65A1047A" w:rsidR="0009657C" w:rsidRPr="00582EE2" w:rsidRDefault="0009657C" w:rsidP="00CF61DC">
      <w:pPr>
        <w:tabs>
          <w:tab w:val="left" w:pos="7655"/>
          <w:tab w:val="left" w:pos="9072"/>
        </w:tabs>
        <w:suppressAutoHyphens/>
        <w:spacing w:line="300" w:lineRule="exact"/>
        <w:ind w:right="283"/>
        <w:jc w:val="both"/>
        <w:rPr>
          <w:rFonts w:ascii="CorpoS" w:hAnsi="CorpoS"/>
          <w:sz w:val="22"/>
          <w:szCs w:val="22"/>
          <w:lang w:val="en-US"/>
        </w:rPr>
      </w:pPr>
      <w:r w:rsidRPr="00582EE2">
        <w:rPr>
          <w:rFonts w:ascii="CorpoS" w:hAnsi="CorpoS"/>
          <w:sz w:val="22"/>
          <w:szCs w:val="22"/>
          <w:lang w:val="en-US"/>
        </w:rPr>
        <w:t>M</w:t>
      </w:r>
      <w:r>
        <w:rPr>
          <w:rFonts w:ascii="CorpoS" w:hAnsi="CorpoS"/>
          <w:sz w:val="22"/>
          <w:szCs w:val="22"/>
          <w:lang w:val="en-US"/>
        </w:rPr>
        <w:t>u</w:t>
      </w:r>
      <w:r w:rsidRPr="00582EE2">
        <w:rPr>
          <w:rFonts w:ascii="CorpoS" w:hAnsi="CorpoS"/>
          <w:sz w:val="22"/>
          <w:szCs w:val="22"/>
          <w:lang w:val="en-US"/>
        </w:rPr>
        <w:t>n</w:t>
      </w:r>
      <w:r>
        <w:rPr>
          <w:rFonts w:ascii="CorpoS" w:hAnsi="CorpoS"/>
          <w:sz w:val="22"/>
          <w:szCs w:val="22"/>
          <w:lang w:val="en-US"/>
        </w:rPr>
        <w:t>i</w:t>
      </w:r>
      <w:r w:rsidRPr="00582EE2">
        <w:rPr>
          <w:rFonts w:ascii="CorpoS" w:hAnsi="CorpoS"/>
          <w:sz w:val="22"/>
          <w:szCs w:val="22"/>
          <w:lang w:val="en-US"/>
        </w:rPr>
        <w:t>ch, O</w:t>
      </w:r>
      <w:r>
        <w:rPr>
          <w:rFonts w:ascii="CorpoS" w:hAnsi="CorpoS"/>
          <w:sz w:val="22"/>
          <w:szCs w:val="22"/>
          <w:lang w:val="en-US"/>
        </w:rPr>
        <w:t>c</w:t>
      </w:r>
      <w:r w:rsidRPr="00582EE2">
        <w:rPr>
          <w:rFonts w:ascii="CorpoS" w:hAnsi="CorpoS"/>
          <w:sz w:val="22"/>
          <w:szCs w:val="22"/>
          <w:lang w:val="en-US"/>
        </w:rPr>
        <w:t xml:space="preserve">tober </w:t>
      </w:r>
      <w:r>
        <w:rPr>
          <w:rFonts w:ascii="CorpoS" w:hAnsi="CorpoS"/>
          <w:sz w:val="22"/>
          <w:szCs w:val="22"/>
          <w:lang w:val="en-US"/>
        </w:rPr>
        <w:t xml:space="preserve">25, </w:t>
      </w:r>
      <w:r w:rsidRPr="00582EE2">
        <w:rPr>
          <w:rFonts w:ascii="CorpoS" w:hAnsi="CorpoS"/>
          <w:sz w:val="22"/>
          <w:szCs w:val="22"/>
          <w:lang w:val="en-US"/>
        </w:rPr>
        <w:t xml:space="preserve">2016 – </w:t>
      </w:r>
      <w:r>
        <w:rPr>
          <w:rFonts w:ascii="CorpoS" w:hAnsi="CorpoS"/>
          <w:sz w:val="22"/>
          <w:szCs w:val="22"/>
          <w:lang w:val="en-US"/>
        </w:rPr>
        <w:t xml:space="preserve">In the first nine months of 2016, </w:t>
      </w:r>
      <w:r w:rsidRPr="00582EE2">
        <w:rPr>
          <w:rFonts w:ascii="CorpoS" w:hAnsi="CorpoS"/>
          <w:sz w:val="22"/>
          <w:szCs w:val="22"/>
          <w:lang w:val="en-US"/>
        </w:rPr>
        <w:t xml:space="preserve">MTU Aero Engines AG </w:t>
      </w:r>
      <w:r>
        <w:rPr>
          <w:rFonts w:ascii="CorpoS" w:hAnsi="CorpoS"/>
          <w:sz w:val="22"/>
          <w:szCs w:val="22"/>
          <w:lang w:val="en-US"/>
        </w:rPr>
        <w:t xml:space="preserve">saw its revenues increase by </w:t>
      </w:r>
      <w:r w:rsidRPr="00582EE2">
        <w:rPr>
          <w:rFonts w:ascii="CorpoS" w:hAnsi="CorpoS"/>
          <w:sz w:val="22"/>
          <w:szCs w:val="22"/>
          <w:lang w:val="en-US"/>
        </w:rPr>
        <w:t>4%</w:t>
      </w:r>
      <w:r>
        <w:rPr>
          <w:rFonts w:ascii="CorpoS" w:hAnsi="CorpoS"/>
          <w:sz w:val="22"/>
          <w:szCs w:val="22"/>
          <w:lang w:val="en-US"/>
        </w:rPr>
        <w:t xml:space="preserve"> to </w:t>
      </w:r>
      <w:r w:rsidRPr="00EE1EB1">
        <w:rPr>
          <w:rFonts w:ascii="CorpoS" w:hAnsi="CorpoS"/>
          <w:sz w:val="22"/>
          <w:szCs w:val="22"/>
          <w:lang w:val="en-US"/>
        </w:rPr>
        <w:t>€</w:t>
      </w:r>
      <w:r>
        <w:rPr>
          <w:rFonts w:ascii="CorpoS" w:hAnsi="CorpoS"/>
          <w:sz w:val="22"/>
          <w:szCs w:val="22"/>
          <w:lang w:val="en-US"/>
        </w:rPr>
        <w:t>3,</w:t>
      </w:r>
      <w:r w:rsidRPr="00582EE2">
        <w:rPr>
          <w:rFonts w:ascii="CorpoS" w:hAnsi="CorpoS"/>
          <w:sz w:val="22"/>
          <w:szCs w:val="22"/>
          <w:lang w:val="en-US"/>
        </w:rPr>
        <w:t>401</w:t>
      </w:r>
      <w:r>
        <w:rPr>
          <w:rFonts w:ascii="CorpoS" w:hAnsi="CorpoS"/>
          <w:sz w:val="22"/>
          <w:szCs w:val="22"/>
          <w:lang w:val="en-US"/>
        </w:rPr>
        <w:t>.</w:t>
      </w:r>
      <w:r w:rsidRPr="00582EE2">
        <w:rPr>
          <w:rFonts w:ascii="CorpoS" w:hAnsi="CorpoS"/>
          <w:sz w:val="22"/>
          <w:szCs w:val="22"/>
          <w:lang w:val="en-US"/>
        </w:rPr>
        <w:t xml:space="preserve">3 </w:t>
      </w:r>
      <w:r>
        <w:rPr>
          <w:rFonts w:ascii="CorpoS" w:hAnsi="CorpoS"/>
          <w:sz w:val="22"/>
          <w:szCs w:val="22"/>
          <w:lang w:val="en-US"/>
        </w:rPr>
        <w:t>million</w:t>
      </w:r>
      <w:r w:rsidRPr="00582EE2">
        <w:rPr>
          <w:rFonts w:ascii="CorpoS" w:hAnsi="CorpoS"/>
          <w:sz w:val="22"/>
          <w:szCs w:val="22"/>
          <w:lang w:val="en-US"/>
        </w:rPr>
        <w:t xml:space="preserve"> (1-9/2015: </w:t>
      </w:r>
      <w:r w:rsidRPr="00EE1EB1">
        <w:rPr>
          <w:rFonts w:ascii="CorpoS" w:hAnsi="CorpoS"/>
          <w:i/>
          <w:sz w:val="22"/>
          <w:szCs w:val="22"/>
          <w:lang w:val="en-US"/>
        </w:rPr>
        <w:t>€</w:t>
      </w:r>
      <w:r>
        <w:rPr>
          <w:rFonts w:ascii="CorpoS" w:hAnsi="CorpoS"/>
          <w:sz w:val="22"/>
          <w:szCs w:val="22"/>
          <w:lang w:val="en-US"/>
        </w:rPr>
        <w:t>3,</w:t>
      </w:r>
      <w:r w:rsidRPr="00582EE2">
        <w:rPr>
          <w:rFonts w:ascii="CorpoS" w:hAnsi="CorpoS"/>
          <w:sz w:val="22"/>
          <w:szCs w:val="22"/>
          <w:lang w:val="en-US"/>
        </w:rPr>
        <w:t>257</w:t>
      </w:r>
      <w:r>
        <w:rPr>
          <w:rFonts w:ascii="CorpoS" w:hAnsi="CorpoS"/>
          <w:sz w:val="22"/>
          <w:szCs w:val="22"/>
          <w:lang w:val="en-US"/>
        </w:rPr>
        <w:t>.</w:t>
      </w:r>
      <w:r w:rsidRPr="00582EE2">
        <w:rPr>
          <w:rFonts w:ascii="CorpoS" w:hAnsi="CorpoS"/>
          <w:sz w:val="22"/>
          <w:szCs w:val="22"/>
          <w:lang w:val="en-US"/>
        </w:rPr>
        <w:t xml:space="preserve">0 </w:t>
      </w:r>
      <w:r>
        <w:rPr>
          <w:rFonts w:ascii="CorpoS" w:hAnsi="CorpoS"/>
          <w:sz w:val="22"/>
          <w:szCs w:val="22"/>
          <w:lang w:val="en-US"/>
        </w:rPr>
        <w:t>million</w:t>
      </w:r>
      <w:r w:rsidRPr="00582EE2">
        <w:rPr>
          <w:rFonts w:ascii="CorpoS" w:hAnsi="CorpoS"/>
          <w:sz w:val="22"/>
          <w:szCs w:val="22"/>
          <w:lang w:val="en-US"/>
        </w:rPr>
        <w:t xml:space="preserve">). </w:t>
      </w:r>
      <w:r>
        <w:rPr>
          <w:rFonts w:ascii="CorpoS" w:hAnsi="CorpoS"/>
          <w:sz w:val="22"/>
          <w:szCs w:val="22"/>
          <w:lang w:val="en-US"/>
        </w:rPr>
        <w:t>The group’s operating profit</w:t>
      </w:r>
      <w:r w:rsidRPr="00582EE2">
        <w:rPr>
          <w:rStyle w:val="Funotenzeichen"/>
          <w:rFonts w:ascii="CorpoS" w:hAnsi="CorpoS"/>
          <w:b/>
          <w:sz w:val="22"/>
          <w:szCs w:val="22"/>
          <w:lang w:val="en-US"/>
        </w:rPr>
        <w:footnoteReference w:id="1"/>
      </w:r>
      <w:r w:rsidRPr="00582EE2">
        <w:rPr>
          <w:rFonts w:ascii="CorpoS" w:hAnsi="CorpoS"/>
          <w:sz w:val="22"/>
          <w:szCs w:val="22"/>
          <w:lang w:val="en-US"/>
        </w:rPr>
        <w:t xml:space="preserve"> </w:t>
      </w:r>
      <w:r>
        <w:rPr>
          <w:rFonts w:ascii="CorpoS" w:hAnsi="CorpoS"/>
          <w:sz w:val="22"/>
          <w:szCs w:val="22"/>
          <w:lang w:val="en-US"/>
        </w:rPr>
        <w:t xml:space="preserve">increased by </w:t>
      </w:r>
      <w:r w:rsidRPr="00582EE2">
        <w:rPr>
          <w:rFonts w:ascii="CorpoS" w:hAnsi="CorpoS"/>
          <w:sz w:val="22"/>
          <w:szCs w:val="22"/>
          <w:lang w:val="en-US"/>
        </w:rPr>
        <w:t xml:space="preserve">18% </w:t>
      </w:r>
      <w:r>
        <w:rPr>
          <w:rFonts w:ascii="CorpoS" w:hAnsi="CorpoS"/>
          <w:sz w:val="22"/>
          <w:szCs w:val="22"/>
          <w:lang w:val="en-US"/>
        </w:rPr>
        <w:t xml:space="preserve">to </w:t>
      </w:r>
      <w:r w:rsidRPr="00582EE2">
        <w:rPr>
          <w:rFonts w:ascii="CorpoS" w:hAnsi="CorpoS"/>
          <w:sz w:val="22"/>
          <w:szCs w:val="22"/>
          <w:lang w:val="en-US"/>
        </w:rPr>
        <w:t>€</w:t>
      </w:r>
      <w:r>
        <w:rPr>
          <w:rFonts w:ascii="CorpoS" w:hAnsi="CorpoS"/>
          <w:sz w:val="22"/>
          <w:szCs w:val="22"/>
          <w:lang w:val="en-US"/>
        </w:rPr>
        <w:t>393.</w:t>
      </w:r>
      <w:r w:rsidRPr="00582EE2">
        <w:rPr>
          <w:rFonts w:ascii="CorpoS" w:hAnsi="CorpoS"/>
          <w:sz w:val="22"/>
          <w:szCs w:val="22"/>
          <w:lang w:val="en-US"/>
        </w:rPr>
        <w:t xml:space="preserve">8 </w:t>
      </w:r>
      <w:r>
        <w:rPr>
          <w:rFonts w:ascii="CorpoS" w:hAnsi="CorpoS"/>
          <w:sz w:val="22"/>
          <w:szCs w:val="22"/>
          <w:lang w:val="en-US"/>
        </w:rPr>
        <w:t>million</w:t>
      </w:r>
      <w:r w:rsidRPr="00582EE2">
        <w:rPr>
          <w:rFonts w:ascii="CorpoS" w:hAnsi="CorpoS"/>
          <w:sz w:val="22"/>
          <w:szCs w:val="22"/>
          <w:lang w:val="en-US"/>
        </w:rPr>
        <w:t xml:space="preserve"> (1-9/201</w:t>
      </w:r>
      <w:r w:rsidR="003347D1">
        <w:rPr>
          <w:rFonts w:ascii="CorpoS" w:hAnsi="CorpoS"/>
          <w:sz w:val="22"/>
          <w:szCs w:val="22"/>
          <w:lang w:val="en-US"/>
        </w:rPr>
        <w:t>5</w:t>
      </w:r>
      <w:r w:rsidRPr="00582EE2">
        <w:rPr>
          <w:rFonts w:ascii="CorpoS" w:hAnsi="CorpoS"/>
          <w:sz w:val="22"/>
          <w:szCs w:val="22"/>
          <w:lang w:val="en-US"/>
        </w:rPr>
        <w:t>: €</w:t>
      </w:r>
      <w:r>
        <w:rPr>
          <w:rFonts w:ascii="CorpoS" w:hAnsi="CorpoS"/>
          <w:sz w:val="22"/>
          <w:szCs w:val="22"/>
          <w:lang w:val="en-US"/>
        </w:rPr>
        <w:t>333.</w:t>
      </w:r>
      <w:r w:rsidRPr="00582EE2">
        <w:rPr>
          <w:rFonts w:ascii="CorpoS" w:hAnsi="CorpoS"/>
          <w:sz w:val="22"/>
          <w:szCs w:val="22"/>
          <w:lang w:val="en-US"/>
        </w:rPr>
        <w:t xml:space="preserve">1 </w:t>
      </w:r>
      <w:r>
        <w:rPr>
          <w:rFonts w:ascii="CorpoS" w:hAnsi="CorpoS"/>
          <w:sz w:val="22"/>
          <w:szCs w:val="22"/>
          <w:lang w:val="en-US"/>
        </w:rPr>
        <w:t>million</w:t>
      </w:r>
      <w:r w:rsidRPr="00582EE2">
        <w:rPr>
          <w:rFonts w:ascii="CorpoS" w:hAnsi="CorpoS"/>
          <w:sz w:val="22"/>
          <w:szCs w:val="22"/>
          <w:lang w:val="en-US"/>
        </w:rPr>
        <w:t>)</w:t>
      </w:r>
      <w:r>
        <w:rPr>
          <w:rFonts w:ascii="CorpoS" w:hAnsi="CorpoS"/>
          <w:sz w:val="22"/>
          <w:szCs w:val="22"/>
          <w:lang w:val="en-US"/>
        </w:rPr>
        <w:t xml:space="preserve">, </w:t>
      </w:r>
      <w:r w:rsidR="003347D1">
        <w:rPr>
          <w:rFonts w:ascii="CorpoS" w:hAnsi="CorpoS"/>
          <w:sz w:val="22"/>
          <w:szCs w:val="22"/>
          <w:lang w:val="en-US"/>
        </w:rPr>
        <w:t xml:space="preserve">improving the </w:t>
      </w:r>
      <w:r>
        <w:rPr>
          <w:rFonts w:ascii="CorpoS" w:hAnsi="CorpoS"/>
          <w:sz w:val="22"/>
          <w:szCs w:val="22"/>
          <w:lang w:val="en-US"/>
        </w:rPr>
        <w:t xml:space="preserve">EBIT margin </w:t>
      </w:r>
      <w:r w:rsidR="003347D1">
        <w:rPr>
          <w:rFonts w:ascii="CorpoS" w:hAnsi="CorpoS"/>
          <w:sz w:val="22"/>
          <w:szCs w:val="22"/>
          <w:lang w:val="en-US"/>
        </w:rPr>
        <w:t>from 10.2% to</w:t>
      </w:r>
      <w:r>
        <w:rPr>
          <w:rFonts w:ascii="CorpoS" w:hAnsi="CorpoS"/>
          <w:sz w:val="22"/>
          <w:szCs w:val="22"/>
          <w:lang w:val="en-US"/>
        </w:rPr>
        <w:t xml:space="preserve"> 1</w:t>
      </w:r>
      <w:r w:rsidRPr="00582EE2">
        <w:rPr>
          <w:rFonts w:ascii="CorpoS" w:hAnsi="CorpoS"/>
          <w:sz w:val="22"/>
          <w:szCs w:val="22"/>
          <w:lang w:val="en-US"/>
        </w:rPr>
        <w:t>1</w:t>
      </w:r>
      <w:r>
        <w:rPr>
          <w:rFonts w:ascii="CorpoS" w:hAnsi="CorpoS"/>
          <w:sz w:val="22"/>
          <w:szCs w:val="22"/>
          <w:lang w:val="en-US"/>
        </w:rPr>
        <w:t>.</w:t>
      </w:r>
      <w:r w:rsidRPr="00582EE2">
        <w:rPr>
          <w:rFonts w:ascii="CorpoS" w:hAnsi="CorpoS"/>
          <w:sz w:val="22"/>
          <w:szCs w:val="22"/>
          <w:lang w:val="en-US"/>
        </w:rPr>
        <w:t xml:space="preserve">6%. </w:t>
      </w:r>
      <w:r>
        <w:rPr>
          <w:rFonts w:ascii="CorpoS" w:hAnsi="CorpoS"/>
          <w:sz w:val="22"/>
          <w:szCs w:val="22"/>
          <w:lang w:val="en-US"/>
        </w:rPr>
        <w:t>Earnings after tax</w:t>
      </w:r>
      <w:r w:rsidRPr="00582EE2">
        <w:rPr>
          <w:rStyle w:val="Funotenzeichen"/>
          <w:rFonts w:ascii="CorpoS" w:hAnsi="CorpoS"/>
          <w:b/>
          <w:sz w:val="22"/>
          <w:szCs w:val="22"/>
          <w:lang w:val="en-US"/>
        </w:rPr>
        <w:footnoteReference w:id="2"/>
      </w:r>
      <w:r w:rsidRPr="00582EE2">
        <w:rPr>
          <w:rFonts w:ascii="CorpoS" w:hAnsi="CorpoS"/>
          <w:sz w:val="22"/>
          <w:szCs w:val="22"/>
          <w:lang w:val="en-US"/>
        </w:rPr>
        <w:t xml:space="preserve"> </w:t>
      </w:r>
      <w:r>
        <w:rPr>
          <w:rFonts w:ascii="CorpoS" w:hAnsi="CorpoS"/>
          <w:sz w:val="22"/>
          <w:szCs w:val="22"/>
          <w:lang w:val="en-US"/>
        </w:rPr>
        <w:t>increased by</w:t>
      </w:r>
      <w:r w:rsidRPr="00582EE2">
        <w:rPr>
          <w:rFonts w:ascii="CorpoS" w:hAnsi="CorpoS"/>
          <w:sz w:val="22"/>
          <w:szCs w:val="22"/>
          <w:lang w:val="en-US"/>
        </w:rPr>
        <w:t xml:space="preserve"> 18% </w:t>
      </w:r>
      <w:r>
        <w:rPr>
          <w:rFonts w:ascii="CorpoS" w:hAnsi="CorpoS"/>
          <w:sz w:val="22"/>
          <w:szCs w:val="22"/>
          <w:lang w:val="en-US"/>
        </w:rPr>
        <w:t xml:space="preserve">to </w:t>
      </w:r>
      <w:r w:rsidRPr="00582EE2">
        <w:rPr>
          <w:rFonts w:ascii="CorpoS" w:hAnsi="CorpoS"/>
          <w:sz w:val="22"/>
          <w:szCs w:val="22"/>
          <w:lang w:val="en-US"/>
        </w:rPr>
        <w:t>€2</w:t>
      </w:r>
      <w:r>
        <w:rPr>
          <w:rFonts w:ascii="CorpoS" w:hAnsi="CorpoS"/>
          <w:sz w:val="22"/>
          <w:szCs w:val="22"/>
          <w:lang w:val="en-US"/>
        </w:rPr>
        <w:t>73.</w:t>
      </w:r>
      <w:r w:rsidRPr="00582EE2">
        <w:rPr>
          <w:rFonts w:ascii="CorpoS" w:hAnsi="CorpoS"/>
          <w:sz w:val="22"/>
          <w:szCs w:val="22"/>
          <w:lang w:val="en-US"/>
        </w:rPr>
        <w:t xml:space="preserve">4 </w:t>
      </w:r>
      <w:r>
        <w:rPr>
          <w:rFonts w:ascii="CorpoS" w:hAnsi="CorpoS"/>
          <w:sz w:val="22"/>
          <w:szCs w:val="22"/>
          <w:lang w:val="en-US"/>
        </w:rPr>
        <w:t>million</w:t>
      </w:r>
      <w:r w:rsidRPr="00582EE2">
        <w:rPr>
          <w:rFonts w:ascii="CorpoS" w:hAnsi="CorpoS"/>
          <w:sz w:val="22"/>
          <w:szCs w:val="22"/>
          <w:lang w:val="en-US"/>
        </w:rPr>
        <w:t xml:space="preserve"> (1-9/2015: €</w:t>
      </w:r>
      <w:r>
        <w:rPr>
          <w:rFonts w:ascii="CorpoS" w:hAnsi="CorpoS"/>
          <w:sz w:val="22"/>
          <w:szCs w:val="22"/>
          <w:lang w:val="en-US"/>
        </w:rPr>
        <w:t>231.</w:t>
      </w:r>
      <w:r w:rsidRPr="00582EE2">
        <w:rPr>
          <w:rFonts w:ascii="CorpoS" w:hAnsi="CorpoS"/>
          <w:sz w:val="22"/>
          <w:szCs w:val="22"/>
          <w:lang w:val="en-US"/>
        </w:rPr>
        <w:t xml:space="preserve">4 </w:t>
      </w:r>
      <w:r>
        <w:rPr>
          <w:rFonts w:ascii="CorpoS" w:hAnsi="CorpoS"/>
          <w:sz w:val="22"/>
          <w:szCs w:val="22"/>
          <w:lang w:val="en-US"/>
        </w:rPr>
        <w:t>million</w:t>
      </w:r>
      <w:r w:rsidRPr="00582EE2">
        <w:rPr>
          <w:rFonts w:ascii="CorpoS" w:hAnsi="CorpoS"/>
          <w:sz w:val="22"/>
          <w:szCs w:val="22"/>
          <w:lang w:val="en-US"/>
        </w:rPr>
        <w:t>).</w:t>
      </w:r>
    </w:p>
    <w:p w14:paraId="41D342ED" w14:textId="77777777" w:rsidR="00C51A14" w:rsidRPr="0009657C" w:rsidRDefault="00C51A14" w:rsidP="00CF61DC">
      <w:pPr>
        <w:tabs>
          <w:tab w:val="left" w:pos="6272"/>
        </w:tabs>
        <w:suppressAutoHyphens/>
        <w:spacing w:line="300" w:lineRule="exact"/>
        <w:ind w:right="283"/>
        <w:jc w:val="both"/>
        <w:rPr>
          <w:rFonts w:ascii="CorpoS" w:hAnsi="CorpoS"/>
          <w:sz w:val="22"/>
          <w:szCs w:val="22"/>
          <w:lang w:val="en-US"/>
        </w:rPr>
      </w:pPr>
    </w:p>
    <w:p w14:paraId="60BB67F8" w14:textId="6933C457" w:rsidR="0009657C" w:rsidRPr="00A31DA7" w:rsidRDefault="0009657C" w:rsidP="00CF61DC">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“Our earnings in the first nine months of 2016 have progressed better than we expected,” sa</w:t>
      </w:r>
      <w:r w:rsidR="00955CF7">
        <w:rPr>
          <w:rFonts w:ascii="CorpoS" w:hAnsi="CorpoS"/>
          <w:sz w:val="22"/>
          <w:szCs w:val="22"/>
          <w:lang w:val="en-US"/>
        </w:rPr>
        <w:t>id</w:t>
      </w:r>
      <w:r w:rsidRPr="00582EE2">
        <w:rPr>
          <w:rFonts w:ascii="CorpoS" w:hAnsi="CorpoS"/>
          <w:sz w:val="22"/>
          <w:szCs w:val="22"/>
          <w:lang w:val="en-US"/>
        </w:rPr>
        <w:t xml:space="preserve"> Reiner Winkler, </w:t>
      </w:r>
      <w:r>
        <w:rPr>
          <w:rFonts w:ascii="CorpoS" w:hAnsi="CorpoS"/>
          <w:sz w:val="22"/>
          <w:szCs w:val="22"/>
          <w:lang w:val="en-US"/>
        </w:rPr>
        <w:t>CEO of</w:t>
      </w:r>
      <w:r w:rsidRPr="00582EE2">
        <w:rPr>
          <w:rFonts w:ascii="CorpoS" w:hAnsi="CorpoS"/>
          <w:sz w:val="22"/>
          <w:szCs w:val="22"/>
          <w:lang w:val="en-US"/>
        </w:rPr>
        <w:t xml:space="preserve"> MTU Aero Engines AG. </w:t>
      </w:r>
      <w:r>
        <w:rPr>
          <w:rFonts w:ascii="CorpoS" w:hAnsi="CorpoS"/>
          <w:sz w:val="22"/>
          <w:szCs w:val="22"/>
          <w:lang w:val="en-US"/>
        </w:rPr>
        <w:t xml:space="preserve">“Based on these results and </w:t>
      </w:r>
      <w:r w:rsidR="00955CF7">
        <w:rPr>
          <w:rFonts w:ascii="CorpoS" w:hAnsi="CorpoS"/>
          <w:sz w:val="22"/>
          <w:szCs w:val="22"/>
          <w:lang w:val="en-US"/>
        </w:rPr>
        <w:t xml:space="preserve">on our </w:t>
      </w:r>
      <w:r>
        <w:rPr>
          <w:rFonts w:ascii="CorpoS" w:hAnsi="CorpoS"/>
          <w:sz w:val="22"/>
          <w:szCs w:val="22"/>
          <w:lang w:val="en-US"/>
        </w:rPr>
        <w:t>expect</w:t>
      </w:r>
      <w:r w:rsidR="00955CF7">
        <w:rPr>
          <w:rFonts w:ascii="CorpoS" w:hAnsi="CorpoS"/>
          <w:sz w:val="22"/>
          <w:szCs w:val="22"/>
          <w:lang w:val="en-US"/>
        </w:rPr>
        <w:t>ations for</w:t>
      </w:r>
      <w:r>
        <w:rPr>
          <w:rFonts w:ascii="CorpoS" w:hAnsi="CorpoS"/>
          <w:sz w:val="22"/>
          <w:szCs w:val="22"/>
          <w:lang w:val="en-US"/>
        </w:rPr>
        <w:t xml:space="preserve"> the fourth quarter, we raise our earnings forecast for the second time this year</w:t>
      </w:r>
      <w:r w:rsidRPr="00582EE2">
        <w:rPr>
          <w:rFonts w:ascii="CorpoS" w:hAnsi="CorpoS"/>
          <w:sz w:val="22"/>
          <w:szCs w:val="22"/>
          <w:lang w:val="en-US"/>
        </w:rPr>
        <w:t>.</w:t>
      </w:r>
      <w:r>
        <w:rPr>
          <w:rFonts w:ascii="CorpoS" w:hAnsi="CorpoS"/>
          <w:sz w:val="22"/>
          <w:szCs w:val="22"/>
          <w:lang w:val="en-US"/>
        </w:rPr>
        <w:t>”</w:t>
      </w:r>
      <w:r w:rsidRPr="00582EE2">
        <w:rPr>
          <w:rFonts w:ascii="CorpoS" w:hAnsi="CorpoS"/>
          <w:sz w:val="22"/>
          <w:szCs w:val="22"/>
          <w:lang w:val="en-US"/>
        </w:rPr>
        <w:t xml:space="preserve"> </w:t>
      </w:r>
      <w:r>
        <w:rPr>
          <w:rFonts w:ascii="CorpoS" w:hAnsi="CorpoS"/>
          <w:sz w:val="22"/>
          <w:szCs w:val="22"/>
          <w:lang w:val="en-US"/>
        </w:rPr>
        <w:t xml:space="preserve">By year-end, MTU </w:t>
      </w:r>
      <w:r w:rsidR="00D25069">
        <w:rPr>
          <w:rFonts w:ascii="CorpoS" w:hAnsi="CorpoS"/>
          <w:sz w:val="22"/>
          <w:szCs w:val="22"/>
          <w:lang w:val="en-US"/>
        </w:rPr>
        <w:t xml:space="preserve">now </w:t>
      </w:r>
      <w:r>
        <w:rPr>
          <w:rFonts w:ascii="CorpoS" w:hAnsi="CorpoS"/>
          <w:sz w:val="22"/>
          <w:szCs w:val="22"/>
          <w:lang w:val="en-US"/>
        </w:rPr>
        <w:t xml:space="preserve">expects adjusted </w:t>
      </w:r>
      <w:r w:rsidRPr="00582EE2">
        <w:rPr>
          <w:rFonts w:ascii="CorpoS" w:eastAsia="SimSun" w:hAnsi="CorpoS"/>
          <w:sz w:val="22"/>
          <w:szCs w:val="22"/>
          <w:lang w:val="en-US" w:eastAsia="zh-CN"/>
        </w:rPr>
        <w:t xml:space="preserve">EBIT </w:t>
      </w:r>
      <w:r>
        <w:rPr>
          <w:rFonts w:ascii="CorpoS" w:eastAsia="SimSun" w:hAnsi="CorpoS"/>
          <w:sz w:val="22"/>
          <w:szCs w:val="22"/>
          <w:lang w:val="en-US" w:eastAsia="zh-CN"/>
        </w:rPr>
        <w:t xml:space="preserve">to grow to around </w:t>
      </w:r>
      <w:r w:rsidRPr="00582EE2">
        <w:rPr>
          <w:rFonts w:ascii="CorpoS" w:eastAsia="SimSun" w:hAnsi="CorpoS"/>
          <w:sz w:val="22"/>
          <w:szCs w:val="22"/>
          <w:lang w:val="en-US" w:eastAsia="zh-CN"/>
        </w:rPr>
        <w:t>€</w:t>
      </w:r>
      <w:r w:rsidRPr="003446CD">
        <w:rPr>
          <w:rFonts w:ascii="CorpoS" w:eastAsia="SimSun" w:hAnsi="CorpoS"/>
          <w:sz w:val="22"/>
          <w:szCs w:val="22"/>
          <w:lang w:val="en-US" w:eastAsia="zh-CN"/>
        </w:rPr>
        <w:t>500</w:t>
      </w:r>
      <w:r>
        <w:rPr>
          <w:rFonts w:ascii="CorpoS" w:eastAsia="SimSun" w:hAnsi="CorpoS"/>
          <w:sz w:val="22"/>
          <w:szCs w:val="22"/>
          <w:lang w:val="en-US" w:eastAsia="zh-CN"/>
        </w:rPr>
        <w:t xml:space="preserve"> million</w:t>
      </w:r>
      <w:r w:rsidR="00955CF7">
        <w:rPr>
          <w:rFonts w:ascii="CorpoS" w:eastAsia="SimSun" w:hAnsi="CorpoS"/>
          <w:sz w:val="22"/>
          <w:szCs w:val="22"/>
          <w:lang w:val="en-US" w:eastAsia="zh-CN"/>
        </w:rPr>
        <w:t>.</w:t>
      </w:r>
      <w:r>
        <w:rPr>
          <w:rFonts w:ascii="CorpoS" w:eastAsia="SimSun" w:hAnsi="CorpoS"/>
          <w:sz w:val="22"/>
          <w:szCs w:val="22"/>
          <w:lang w:val="en-US" w:eastAsia="zh-CN"/>
        </w:rPr>
        <w:t xml:space="preserve"> </w:t>
      </w:r>
      <w:r w:rsidR="00955CF7">
        <w:rPr>
          <w:rFonts w:ascii="CorpoS" w:eastAsia="SimSun" w:hAnsi="CorpoS"/>
          <w:sz w:val="22"/>
          <w:szCs w:val="22"/>
          <w:lang w:val="en-US" w:eastAsia="zh-CN"/>
        </w:rPr>
        <w:t>T</w:t>
      </w:r>
      <w:r>
        <w:rPr>
          <w:rFonts w:ascii="CorpoS" w:eastAsia="SimSun" w:hAnsi="CorpoS"/>
          <w:sz w:val="22"/>
          <w:szCs w:val="22"/>
          <w:lang w:val="en-US" w:eastAsia="zh-CN"/>
        </w:rPr>
        <w:t xml:space="preserve">he original forecast </w:t>
      </w:r>
      <w:r w:rsidR="00955CF7">
        <w:rPr>
          <w:rFonts w:ascii="CorpoS" w:eastAsia="SimSun" w:hAnsi="CorpoS"/>
          <w:sz w:val="22"/>
          <w:szCs w:val="22"/>
          <w:lang w:val="en-US" w:eastAsia="zh-CN"/>
        </w:rPr>
        <w:t xml:space="preserve">was </w:t>
      </w:r>
      <w:r>
        <w:rPr>
          <w:rFonts w:ascii="CorpoS" w:eastAsia="SimSun" w:hAnsi="CorpoS"/>
          <w:sz w:val="22"/>
          <w:szCs w:val="22"/>
          <w:lang w:val="en-US" w:eastAsia="zh-CN"/>
        </w:rPr>
        <w:t xml:space="preserve">of around </w:t>
      </w:r>
      <w:r w:rsidRPr="00582EE2">
        <w:rPr>
          <w:rFonts w:ascii="CorpoS" w:hAnsi="CorpoS"/>
          <w:sz w:val="22"/>
          <w:szCs w:val="22"/>
          <w:lang w:val="en-US"/>
        </w:rPr>
        <w:t>€</w:t>
      </w:r>
      <w:r w:rsidRPr="00582EE2">
        <w:rPr>
          <w:rFonts w:ascii="CorpoS" w:eastAsia="SimSun" w:hAnsi="CorpoS"/>
          <w:sz w:val="22"/>
          <w:szCs w:val="22"/>
          <w:lang w:val="en-US" w:eastAsia="zh-CN"/>
        </w:rPr>
        <w:t xml:space="preserve">480 </w:t>
      </w:r>
      <w:r>
        <w:rPr>
          <w:rFonts w:ascii="CorpoS" w:eastAsia="SimSun" w:hAnsi="CorpoS"/>
          <w:sz w:val="22"/>
          <w:szCs w:val="22"/>
          <w:lang w:val="en-US" w:eastAsia="zh-CN"/>
        </w:rPr>
        <w:t>million</w:t>
      </w:r>
      <w:r w:rsidRPr="00582EE2">
        <w:rPr>
          <w:rFonts w:ascii="CorpoS" w:eastAsia="SimSun" w:hAnsi="CorpoS"/>
          <w:sz w:val="22"/>
          <w:szCs w:val="22"/>
          <w:lang w:val="en-US" w:eastAsia="zh-CN"/>
        </w:rPr>
        <w:t xml:space="preserve"> (</w:t>
      </w:r>
      <w:r>
        <w:rPr>
          <w:rFonts w:ascii="CorpoS" w:eastAsia="SimSun" w:hAnsi="CorpoS"/>
          <w:sz w:val="22"/>
          <w:szCs w:val="22"/>
          <w:lang w:val="en-US" w:eastAsia="zh-CN"/>
        </w:rPr>
        <w:t>adjusted</w:t>
      </w:r>
      <w:r w:rsidRPr="00582EE2">
        <w:rPr>
          <w:rFonts w:ascii="CorpoS" w:eastAsia="SimSun" w:hAnsi="CorpoS"/>
          <w:sz w:val="22"/>
          <w:szCs w:val="22"/>
          <w:lang w:val="en-US" w:eastAsia="zh-CN"/>
        </w:rPr>
        <w:t xml:space="preserve"> EBIT 2015: </w:t>
      </w:r>
      <w:r w:rsidRPr="00582EE2">
        <w:rPr>
          <w:rFonts w:ascii="CorpoS" w:hAnsi="CorpoS"/>
          <w:sz w:val="22"/>
          <w:szCs w:val="22"/>
          <w:lang w:val="en-US"/>
        </w:rPr>
        <w:t>€</w:t>
      </w:r>
      <w:r>
        <w:rPr>
          <w:rFonts w:ascii="CorpoS" w:eastAsia="SimSun" w:hAnsi="CorpoS"/>
          <w:sz w:val="22"/>
          <w:szCs w:val="22"/>
          <w:lang w:val="en-US" w:eastAsia="zh-CN"/>
        </w:rPr>
        <w:t>440.</w:t>
      </w:r>
      <w:r w:rsidRPr="00582EE2">
        <w:rPr>
          <w:rFonts w:ascii="CorpoS" w:eastAsia="SimSun" w:hAnsi="CorpoS"/>
          <w:sz w:val="22"/>
          <w:szCs w:val="22"/>
          <w:lang w:val="en-US" w:eastAsia="zh-CN"/>
        </w:rPr>
        <w:t xml:space="preserve">3 </w:t>
      </w:r>
      <w:r>
        <w:rPr>
          <w:rFonts w:ascii="CorpoS" w:eastAsia="SimSun" w:hAnsi="CorpoS"/>
          <w:sz w:val="22"/>
          <w:szCs w:val="22"/>
          <w:lang w:val="en-US" w:eastAsia="zh-CN"/>
        </w:rPr>
        <w:t>million</w:t>
      </w:r>
      <w:r w:rsidRPr="00582EE2">
        <w:rPr>
          <w:rFonts w:ascii="CorpoS" w:eastAsia="SimSun" w:hAnsi="CorpoS"/>
          <w:sz w:val="22"/>
          <w:szCs w:val="22"/>
          <w:lang w:val="en-US" w:eastAsia="zh-CN"/>
        </w:rPr>
        <w:t xml:space="preserve">). </w:t>
      </w:r>
      <w:r>
        <w:rPr>
          <w:rFonts w:ascii="CorpoS" w:eastAsia="SimSun" w:hAnsi="CorpoS"/>
          <w:sz w:val="22"/>
          <w:szCs w:val="22"/>
          <w:lang w:val="en-US" w:eastAsia="zh-CN"/>
        </w:rPr>
        <w:t>The group’s net income is expected to increase in line with adjusted EBIT, to reach a</w:t>
      </w:r>
      <w:r w:rsidR="00955CF7">
        <w:rPr>
          <w:rFonts w:ascii="CorpoS" w:eastAsia="SimSun" w:hAnsi="CorpoS"/>
          <w:sz w:val="22"/>
          <w:szCs w:val="22"/>
          <w:lang w:val="en-US" w:eastAsia="zh-CN"/>
        </w:rPr>
        <w:t>round</w:t>
      </w:r>
      <w:r>
        <w:rPr>
          <w:rFonts w:ascii="CorpoS" w:eastAsia="SimSun" w:hAnsi="CorpoS"/>
          <w:sz w:val="22"/>
          <w:szCs w:val="22"/>
          <w:lang w:val="en-US" w:eastAsia="zh-CN"/>
        </w:rPr>
        <w:t xml:space="preserve"> </w:t>
      </w:r>
      <w:r w:rsidRPr="00582EE2">
        <w:rPr>
          <w:rFonts w:ascii="CorpoS" w:eastAsia="SimSun" w:hAnsi="CorpoS"/>
          <w:sz w:val="22"/>
          <w:szCs w:val="22"/>
          <w:lang w:val="en-US" w:eastAsia="zh-CN"/>
        </w:rPr>
        <w:t>€</w:t>
      </w:r>
      <w:r>
        <w:rPr>
          <w:rFonts w:ascii="CorpoS" w:eastAsia="SimSun" w:hAnsi="CorpoS"/>
          <w:sz w:val="22"/>
          <w:szCs w:val="22"/>
          <w:lang w:val="en-US" w:eastAsia="zh-CN"/>
        </w:rPr>
        <w:t>340 million at year end</w:t>
      </w:r>
      <w:r w:rsidRPr="00582EE2">
        <w:rPr>
          <w:rFonts w:ascii="CorpoS" w:eastAsia="SimSun" w:hAnsi="CorpoS"/>
          <w:sz w:val="22"/>
          <w:szCs w:val="22"/>
          <w:lang w:val="en-US" w:eastAsia="zh-CN"/>
        </w:rPr>
        <w:t xml:space="preserve">. </w:t>
      </w:r>
      <w:r>
        <w:rPr>
          <w:rFonts w:ascii="CorpoS" w:eastAsia="SimSun" w:hAnsi="CorpoS"/>
          <w:sz w:val="22"/>
          <w:szCs w:val="22"/>
          <w:lang w:val="en-US" w:eastAsia="zh-CN"/>
        </w:rPr>
        <w:t xml:space="preserve">The previous forecast for net income was </w:t>
      </w:r>
      <w:r w:rsidRPr="00582EE2">
        <w:rPr>
          <w:rFonts w:ascii="CorpoS" w:hAnsi="CorpoS"/>
          <w:sz w:val="22"/>
          <w:szCs w:val="22"/>
          <w:lang w:val="en-US"/>
        </w:rPr>
        <w:t>€</w:t>
      </w:r>
      <w:r w:rsidRPr="00582EE2">
        <w:rPr>
          <w:rFonts w:ascii="CorpoS" w:eastAsia="SimSun" w:hAnsi="CorpoS"/>
          <w:sz w:val="22"/>
          <w:szCs w:val="22"/>
          <w:lang w:val="en-US" w:eastAsia="zh-CN"/>
        </w:rPr>
        <w:t xml:space="preserve">330 </w:t>
      </w:r>
      <w:r>
        <w:rPr>
          <w:rFonts w:ascii="CorpoS" w:eastAsia="SimSun" w:hAnsi="CorpoS"/>
          <w:sz w:val="22"/>
          <w:szCs w:val="22"/>
          <w:lang w:val="en-US" w:eastAsia="zh-CN"/>
        </w:rPr>
        <w:t>million</w:t>
      </w:r>
      <w:r w:rsidRPr="00582EE2">
        <w:rPr>
          <w:rFonts w:ascii="CorpoS" w:eastAsia="SimSun" w:hAnsi="CorpoS"/>
          <w:sz w:val="22"/>
          <w:szCs w:val="22"/>
          <w:lang w:val="en-US" w:eastAsia="zh-CN"/>
        </w:rPr>
        <w:t xml:space="preserve"> (2015: </w:t>
      </w:r>
      <w:r w:rsidRPr="00582EE2">
        <w:rPr>
          <w:rFonts w:ascii="CorpoS" w:hAnsi="CorpoS"/>
          <w:sz w:val="22"/>
          <w:szCs w:val="22"/>
          <w:lang w:val="en-US"/>
        </w:rPr>
        <w:t>€</w:t>
      </w:r>
      <w:r w:rsidRPr="00582EE2">
        <w:rPr>
          <w:rFonts w:ascii="CorpoS" w:eastAsia="SimSun" w:hAnsi="CorpoS"/>
          <w:sz w:val="22"/>
          <w:szCs w:val="22"/>
          <w:lang w:val="en-US" w:eastAsia="zh-CN"/>
        </w:rPr>
        <w:t>306</w:t>
      </w:r>
      <w:r>
        <w:rPr>
          <w:rFonts w:ascii="CorpoS" w:eastAsia="SimSun" w:hAnsi="CorpoS"/>
          <w:sz w:val="22"/>
          <w:szCs w:val="22"/>
          <w:lang w:val="en-US" w:eastAsia="zh-CN"/>
        </w:rPr>
        <w:t>.</w:t>
      </w:r>
      <w:r w:rsidRPr="00582EE2">
        <w:rPr>
          <w:rFonts w:ascii="CorpoS" w:eastAsia="SimSun" w:hAnsi="CorpoS"/>
          <w:sz w:val="22"/>
          <w:szCs w:val="22"/>
          <w:lang w:val="en-US" w:eastAsia="zh-CN"/>
        </w:rPr>
        <w:t xml:space="preserve">9 </w:t>
      </w:r>
      <w:r>
        <w:rPr>
          <w:rFonts w:ascii="CorpoS" w:eastAsia="SimSun" w:hAnsi="CorpoS"/>
          <w:sz w:val="22"/>
          <w:szCs w:val="22"/>
          <w:lang w:val="en-US" w:eastAsia="zh-CN"/>
        </w:rPr>
        <w:t>million</w:t>
      </w:r>
      <w:r w:rsidRPr="00582EE2">
        <w:rPr>
          <w:rFonts w:ascii="CorpoS" w:eastAsia="SimSun" w:hAnsi="CorpoS"/>
          <w:sz w:val="22"/>
          <w:szCs w:val="22"/>
          <w:lang w:val="en-US" w:eastAsia="zh-CN"/>
        </w:rPr>
        <w:t xml:space="preserve">). </w:t>
      </w:r>
      <w:r>
        <w:rPr>
          <w:rFonts w:ascii="CorpoS" w:eastAsia="SimSun" w:hAnsi="CorpoS"/>
          <w:sz w:val="22"/>
          <w:szCs w:val="22"/>
          <w:lang w:val="en-US" w:eastAsia="zh-CN"/>
        </w:rPr>
        <w:t xml:space="preserve">MTU has not changed its revenue forecast, which remains at </w:t>
      </w:r>
      <w:r w:rsidRPr="00582EE2">
        <w:rPr>
          <w:rFonts w:ascii="CorpoS" w:eastAsia="SimSun" w:hAnsi="CorpoS"/>
          <w:sz w:val="22"/>
          <w:szCs w:val="22"/>
          <w:lang w:val="en-US" w:eastAsia="zh-CN"/>
        </w:rPr>
        <w:t>€4</w:t>
      </w:r>
      <w:r>
        <w:rPr>
          <w:rFonts w:ascii="CorpoS" w:eastAsia="SimSun" w:hAnsi="CorpoS"/>
          <w:sz w:val="22"/>
          <w:szCs w:val="22"/>
          <w:lang w:val="en-US" w:eastAsia="zh-CN"/>
        </w:rPr>
        <w:t>.</w:t>
      </w:r>
      <w:r w:rsidRPr="00582EE2">
        <w:rPr>
          <w:rFonts w:ascii="CorpoS" w:eastAsia="SimSun" w:hAnsi="CorpoS"/>
          <w:sz w:val="22"/>
          <w:szCs w:val="22"/>
          <w:lang w:val="en-US" w:eastAsia="zh-CN"/>
        </w:rPr>
        <w:t xml:space="preserve">7 </w:t>
      </w:r>
      <w:r>
        <w:rPr>
          <w:rFonts w:ascii="CorpoS" w:eastAsia="SimSun" w:hAnsi="CorpoS"/>
          <w:sz w:val="22"/>
          <w:szCs w:val="22"/>
          <w:lang w:val="en-US" w:eastAsia="zh-CN"/>
        </w:rPr>
        <w:t xml:space="preserve">billion </w:t>
      </w:r>
      <w:r w:rsidRPr="00582EE2">
        <w:rPr>
          <w:rFonts w:ascii="CorpoS" w:eastAsia="SimSun" w:hAnsi="CorpoS"/>
          <w:sz w:val="22"/>
          <w:szCs w:val="22"/>
          <w:lang w:val="en-US" w:eastAsia="zh-CN"/>
        </w:rPr>
        <w:t>(2015: €</w:t>
      </w:r>
      <w:r>
        <w:rPr>
          <w:rFonts w:ascii="CorpoS" w:eastAsia="SimSun" w:hAnsi="CorpoS"/>
          <w:sz w:val="22"/>
          <w:szCs w:val="22"/>
          <w:lang w:val="en-US" w:eastAsia="zh-CN"/>
        </w:rPr>
        <w:t>4.</w:t>
      </w:r>
      <w:r w:rsidRPr="00582EE2">
        <w:rPr>
          <w:rFonts w:ascii="CorpoS" w:eastAsia="SimSun" w:hAnsi="CorpoS"/>
          <w:sz w:val="22"/>
          <w:szCs w:val="22"/>
          <w:lang w:val="en-US" w:eastAsia="zh-CN"/>
        </w:rPr>
        <w:t>4</w:t>
      </w:r>
      <w:r>
        <w:rPr>
          <w:rFonts w:ascii="CorpoS" w:eastAsia="SimSun" w:hAnsi="CorpoS"/>
          <w:sz w:val="22"/>
          <w:szCs w:val="22"/>
          <w:lang w:val="en-US" w:eastAsia="zh-CN"/>
        </w:rPr>
        <w:t xml:space="preserve"> billion</w:t>
      </w:r>
      <w:r w:rsidRPr="00582EE2">
        <w:rPr>
          <w:rFonts w:ascii="CorpoS" w:eastAsia="SimSun" w:hAnsi="CorpoS"/>
          <w:sz w:val="22"/>
          <w:szCs w:val="22"/>
          <w:lang w:val="en-US" w:eastAsia="zh-CN"/>
        </w:rPr>
        <w:t>).</w:t>
      </w:r>
    </w:p>
    <w:p w14:paraId="10908830" w14:textId="77777777" w:rsidR="00C51A14" w:rsidRPr="0009657C" w:rsidRDefault="00C51A14" w:rsidP="00CF61DC">
      <w:pPr>
        <w:tabs>
          <w:tab w:val="left" w:pos="7655"/>
          <w:tab w:val="left" w:pos="9072"/>
        </w:tabs>
        <w:suppressAutoHyphens/>
        <w:spacing w:line="300" w:lineRule="exact"/>
        <w:ind w:right="283"/>
        <w:jc w:val="both"/>
        <w:rPr>
          <w:rFonts w:ascii="CorpoS" w:hAnsi="CorpoS"/>
          <w:sz w:val="22"/>
          <w:szCs w:val="22"/>
          <w:lang w:val="en-US"/>
        </w:rPr>
      </w:pPr>
    </w:p>
    <w:p w14:paraId="13C54CEB" w14:textId="57D2ECD8" w:rsidR="0009657C" w:rsidRPr="00582EE2" w:rsidRDefault="0009657C" w:rsidP="00CF61DC">
      <w:pPr>
        <w:suppressAutoHyphens/>
        <w:spacing w:line="300" w:lineRule="exact"/>
        <w:ind w:right="283"/>
        <w:jc w:val="both"/>
        <w:rPr>
          <w:rFonts w:ascii="CorpoS" w:hAnsi="CorpoS"/>
          <w:sz w:val="22"/>
          <w:szCs w:val="22"/>
          <w:lang w:val="en-US"/>
        </w:rPr>
      </w:pPr>
      <w:r>
        <w:rPr>
          <w:rFonts w:ascii="CorpoS" w:hAnsi="CorpoS"/>
          <w:sz w:val="22"/>
          <w:szCs w:val="22"/>
          <w:lang w:val="en-US"/>
        </w:rPr>
        <w:t>The increase in MTU’s revenues is primarily due to strong growth in the commercial maintenance business, where revenues grew by 19</w:t>
      </w:r>
      <w:r w:rsidRPr="00582EE2">
        <w:rPr>
          <w:rFonts w:ascii="CorpoS" w:hAnsi="CorpoS"/>
          <w:sz w:val="22"/>
          <w:szCs w:val="22"/>
          <w:lang w:val="en-US"/>
        </w:rPr>
        <w:t xml:space="preserve">% </w:t>
      </w:r>
      <w:r>
        <w:rPr>
          <w:rFonts w:ascii="CorpoS" w:hAnsi="CorpoS"/>
          <w:sz w:val="22"/>
          <w:szCs w:val="22"/>
          <w:lang w:val="en-US"/>
        </w:rPr>
        <w:t>to</w:t>
      </w:r>
      <w:r w:rsidRPr="00582EE2">
        <w:rPr>
          <w:rFonts w:ascii="CorpoS" w:hAnsi="CorpoS"/>
          <w:sz w:val="22"/>
          <w:szCs w:val="22"/>
          <w:lang w:val="en-US"/>
        </w:rPr>
        <w:t xml:space="preserve"> </w:t>
      </w:r>
      <w:r w:rsidRPr="00582EE2">
        <w:rPr>
          <w:rFonts w:ascii="CorpoS" w:eastAsia="SimSun" w:hAnsi="CorpoS"/>
          <w:sz w:val="22"/>
          <w:szCs w:val="22"/>
          <w:lang w:val="en-US" w:eastAsia="zh-CN"/>
        </w:rPr>
        <w:t>€</w:t>
      </w:r>
      <w:r>
        <w:rPr>
          <w:rFonts w:ascii="CorpoS" w:hAnsi="CorpoS"/>
          <w:sz w:val="22"/>
          <w:szCs w:val="22"/>
          <w:lang w:val="en-US"/>
        </w:rPr>
        <w:t>1,368.</w:t>
      </w:r>
      <w:r w:rsidRPr="00582EE2">
        <w:rPr>
          <w:rFonts w:ascii="CorpoS" w:hAnsi="CorpoS"/>
          <w:sz w:val="22"/>
          <w:szCs w:val="22"/>
          <w:lang w:val="en-US"/>
        </w:rPr>
        <w:t xml:space="preserve">3 </w:t>
      </w:r>
      <w:r>
        <w:rPr>
          <w:rFonts w:ascii="CorpoS" w:hAnsi="CorpoS"/>
          <w:sz w:val="22"/>
          <w:szCs w:val="22"/>
          <w:lang w:val="en-US"/>
        </w:rPr>
        <w:t>million</w:t>
      </w:r>
      <w:r w:rsidRPr="00582EE2">
        <w:rPr>
          <w:rFonts w:ascii="CorpoS" w:hAnsi="CorpoS"/>
          <w:sz w:val="22"/>
          <w:szCs w:val="22"/>
          <w:lang w:val="en-US"/>
        </w:rPr>
        <w:t xml:space="preserve"> (1-9/201</w:t>
      </w:r>
      <w:r w:rsidR="00D25069">
        <w:rPr>
          <w:rFonts w:ascii="CorpoS" w:hAnsi="CorpoS"/>
          <w:sz w:val="22"/>
          <w:szCs w:val="22"/>
          <w:lang w:val="en-US"/>
        </w:rPr>
        <w:t>5</w:t>
      </w:r>
      <w:r w:rsidRPr="00582EE2">
        <w:rPr>
          <w:rFonts w:ascii="CorpoS" w:hAnsi="CorpoS"/>
          <w:sz w:val="22"/>
          <w:szCs w:val="22"/>
          <w:lang w:val="en-US"/>
        </w:rPr>
        <w:t xml:space="preserve">: </w:t>
      </w:r>
      <w:r w:rsidRPr="00582EE2">
        <w:rPr>
          <w:rFonts w:ascii="CorpoS" w:eastAsia="SimSun" w:hAnsi="CorpoS"/>
          <w:sz w:val="22"/>
          <w:szCs w:val="22"/>
          <w:lang w:val="en-US" w:eastAsia="zh-CN"/>
        </w:rPr>
        <w:t>€</w:t>
      </w:r>
      <w:r>
        <w:rPr>
          <w:rFonts w:ascii="CorpoS" w:hAnsi="CorpoS"/>
          <w:sz w:val="22"/>
          <w:szCs w:val="22"/>
          <w:lang w:val="en-US"/>
        </w:rPr>
        <w:t>1,148.</w:t>
      </w:r>
      <w:r w:rsidRPr="00582EE2">
        <w:rPr>
          <w:rFonts w:ascii="CorpoS" w:hAnsi="CorpoS"/>
          <w:sz w:val="22"/>
          <w:szCs w:val="22"/>
          <w:lang w:val="en-US"/>
        </w:rPr>
        <w:t xml:space="preserve">4 </w:t>
      </w:r>
      <w:r>
        <w:rPr>
          <w:rFonts w:ascii="CorpoS" w:hAnsi="CorpoS"/>
          <w:sz w:val="22"/>
          <w:szCs w:val="22"/>
          <w:lang w:val="en-US"/>
        </w:rPr>
        <w:t>million</w:t>
      </w:r>
      <w:r w:rsidRPr="00582EE2">
        <w:rPr>
          <w:rFonts w:ascii="CorpoS" w:hAnsi="CorpoS"/>
          <w:sz w:val="22"/>
          <w:szCs w:val="22"/>
          <w:lang w:val="en-US"/>
        </w:rPr>
        <w:t xml:space="preserve">). </w:t>
      </w:r>
      <w:r>
        <w:rPr>
          <w:rFonts w:ascii="CorpoS" w:hAnsi="CorpoS"/>
          <w:sz w:val="22"/>
          <w:szCs w:val="22"/>
          <w:lang w:val="en-US"/>
        </w:rPr>
        <w:t xml:space="preserve">The main source of these revenues was the V2500 engine for the </w:t>
      </w:r>
      <w:r w:rsidRPr="00582EE2">
        <w:rPr>
          <w:rFonts w:ascii="CorpoS" w:hAnsi="CorpoS"/>
          <w:sz w:val="22"/>
          <w:szCs w:val="22"/>
          <w:lang w:val="en-US"/>
        </w:rPr>
        <w:t xml:space="preserve">A320. </w:t>
      </w:r>
      <w:r>
        <w:rPr>
          <w:rFonts w:ascii="CorpoS" w:hAnsi="CorpoS"/>
          <w:sz w:val="22"/>
          <w:szCs w:val="22"/>
          <w:lang w:val="en-US"/>
        </w:rPr>
        <w:t xml:space="preserve">“MTU Maintenance keeps striding from </w:t>
      </w:r>
      <w:r w:rsidR="00BF3CC1">
        <w:rPr>
          <w:rFonts w:ascii="CorpoS" w:hAnsi="CorpoS"/>
          <w:sz w:val="22"/>
          <w:szCs w:val="22"/>
          <w:lang w:val="en-US"/>
        </w:rPr>
        <w:t xml:space="preserve">one </w:t>
      </w:r>
      <w:r w:rsidR="00D25069">
        <w:rPr>
          <w:rFonts w:ascii="CorpoS" w:hAnsi="CorpoS"/>
          <w:sz w:val="22"/>
          <w:szCs w:val="22"/>
          <w:lang w:val="en-US"/>
        </w:rPr>
        <w:t xml:space="preserve">best performance to </w:t>
      </w:r>
      <w:r>
        <w:rPr>
          <w:rFonts w:ascii="CorpoS" w:hAnsi="CorpoS"/>
          <w:sz w:val="22"/>
          <w:szCs w:val="22"/>
          <w:lang w:val="en-US"/>
        </w:rPr>
        <w:t>the next</w:t>
      </w:r>
      <w:r w:rsidRPr="00582EE2">
        <w:rPr>
          <w:rFonts w:ascii="CorpoS" w:hAnsi="CorpoS"/>
          <w:sz w:val="22"/>
          <w:szCs w:val="22"/>
          <w:lang w:val="en-US"/>
        </w:rPr>
        <w:t>,</w:t>
      </w:r>
      <w:r>
        <w:rPr>
          <w:rFonts w:ascii="CorpoS" w:hAnsi="CorpoS"/>
          <w:sz w:val="22"/>
          <w:szCs w:val="22"/>
          <w:lang w:val="en-US"/>
        </w:rPr>
        <w:t>”</w:t>
      </w:r>
      <w:r w:rsidRPr="00582EE2">
        <w:rPr>
          <w:rFonts w:ascii="CorpoS" w:hAnsi="CorpoS"/>
          <w:sz w:val="22"/>
          <w:szCs w:val="22"/>
          <w:lang w:val="en-US"/>
        </w:rPr>
        <w:t xml:space="preserve"> s</w:t>
      </w:r>
      <w:r>
        <w:rPr>
          <w:rFonts w:ascii="CorpoS" w:hAnsi="CorpoS"/>
          <w:sz w:val="22"/>
          <w:szCs w:val="22"/>
          <w:lang w:val="en-US"/>
        </w:rPr>
        <w:t>a</w:t>
      </w:r>
      <w:r w:rsidR="00955CF7">
        <w:rPr>
          <w:rFonts w:ascii="CorpoS" w:hAnsi="CorpoS"/>
          <w:sz w:val="22"/>
          <w:szCs w:val="22"/>
          <w:lang w:val="en-US"/>
        </w:rPr>
        <w:t>id</w:t>
      </w:r>
      <w:r>
        <w:rPr>
          <w:rFonts w:ascii="CorpoS" w:hAnsi="CorpoS"/>
          <w:sz w:val="22"/>
          <w:szCs w:val="22"/>
          <w:lang w:val="en-US"/>
        </w:rPr>
        <w:t xml:space="preserve"> Chief </w:t>
      </w:r>
      <w:r w:rsidRPr="00582EE2">
        <w:rPr>
          <w:rFonts w:ascii="CorpoS" w:hAnsi="CorpoS"/>
          <w:sz w:val="22"/>
          <w:szCs w:val="22"/>
          <w:lang w:val="en-US"/>
        </w:rPr>
        <w:t>Program</w:t>
      </w:r>
      <w:r>
        <w:rPr>
          <w:rFonts w:ascii="CorpoS" w:hAnsi="CorpoS"/>
          <w:sz w:val="22"/>
          <w:szCs w:val="22"/>
          <w:lang w:val="en-US"/>
        </w:rPr>
        <w:t xml:space="preserve"> Officer</w:t>
      </w:r>
      <w:r w:rsidRPr="00582EE2">
        <w:rPr>
          <w:rFonts w:ascii="CorpoS" w:hAnsi="CorpoS"/>
          <w:sz w:val="22"/>
          <w:szCs w:val="22"/>
          <w:lang w:val="en-US"/>
        </w:rPr>
        <w:t xml:space="preserve"> Michael Schreyögg. </w:t>
      </w:r>
      <w:r>
        <w:rPr>
          <w:rFonts w:ascii="CorpoS" w:hAnsi="CorpoS"/>
          <w:sz w:val="22"/>
          <w:szCs w:val="22"/>
          <w:lang w:val="en-US"/>
        </w:rPr>
        <w:t xml:space="preserve">“With </w:t>
      </w:r>
      <w:r w:rsidR="00955CF7">
        <w:rPr>
          <w:rFonts w:ascii="CorpoS" w:hAnsi="CorpoS"/>
          <w:sz w:val="22"/>
          <w:szCs w:val="22"/>
          <w:lang w:val="en-US"/>
        </w:rPr>
        <w:t>third-quarter</w:t>
      </w:r>
      <w:r>
        <w:rPr>
          <w:rFonts w:ascii="CorpoS" w:hAnsi="CorpoS"/>
          <w:sz w:val="22"/>
          <w:szCs w:val="22"/>
          <w:lang w:val="en-US"/>
        </w:rPr>
        <w:t xml:space="preserve"> revenues of </w:t>
      </w:r>
      <w:r w:rsidRPr="00582EE2">
        <w:rPr>
          <w:rFonts w:ascii="CorpoS" w:eastAsia="SimSun" w:hAnsi="CorpoS"/>
          <w:sz w:val="22"/>
          <w:szCs w:val="22"/>
          <w:lang w:val="en-US" w:eastAsia="zh-CN"/>
        </w:rPr>
        <w:t>€</w:t>
      </w:r>
      <w:r>
        <w:rPr>
          <w:rFonts w:ascii="CorpoS" w:hAnsi="CorpoS"/>
          <w:sz w:val="22"/>
          <w:szCs w:val="22"/>
          <w:lang w:val="en-US"/>
        </w:rPr>
        <w:t>475.</w:t>
      </w:r>
      <w:r w:rsidRPr="00582EE2">
        <w:rPr>
          <w:rFonts w:ascii="CorpoS" w:hAnsi="CorpoS"/>
          <w:sz w:val="22"/>
          <w:szCs w:val="22"/>
          <w:lang w:val="en-US"/>
        </w:rPr>
        <w:t xml:space="preserve">0 </w:t>
      </w:r>
      <w:r w:rsidR="006E5B40">
        <w:rPr>
          <w:rFonts w:ascii="CorpoS" w:hAnsi="CorpoS"/>
          <w:sz w:val="22"/>
          <w:szCs w:val="22"/>
          <w:lang w:val="en-US"/>
        </w:rPr>
        <w:t xml:space="preserve">million, </w:t>
      </w:r>
      <w:r w:rsidR="008A1EEB">
        <w:rPr>
          <w:rFonts w:ascii="CorpoS" w:hAnsi="CorpoS"/>
          <w:sz w:val="22"/>
          <w:szCs w:val="22"/>
          <w:lang w:val="en-US"/>
        </w:rPr>
        <w:t>the business unit has</w:t>
      </w:r>
      <w:r w:rsidR="006E5B40">
        <w:rPr>
          <w:rFonts w:ascii="CorpoS" w:hAnsi="CorpoS"/>
          <w:sz w:val="22"/>
          <w:szCs w:val="22"/>
          <w:lang w:val="en-US"/>
        </w:rPr>
        <w:t xml:space="preserve"> </w:t>
      </w:r>
      <w:r w:rsidR="008A1EEB">
        <w:rPr>
          <w:rFonts w:ascii="CorpoS" w:hAnsi="CorpoS"/>
          <w:sz w:val="22"/>
          <w:szCs w:val="22"/>
          <w:lang w:val="en-US"/>
        </w:rPr>
        <w:t>beaten previous</w:t>
      </w:r>
      <w:r w:rsidR="006E5B40">
        <w:rPr>
          <w:rFonts w:ascii="CorpoS" w:hAnsi="CorpoS"/>
          <w:sz w:val="22"/>
          <w:szCs w:val="22"/>
          <w:lang w:val="en-US"/>
        </w:rPr>
        <w:t xml:space="preserve"> </w:t>
      </w:r>
      <w:r w:rsidR="008A1EEB">
        <w:rPr>
          <w:rFonts w:ascii="CorpoS" w:hAnsi="CorpoS"/>
          <w:sz w:val="22"/>
          <w:szCs w:val="22"/>
          <w:lang w:val="en-US"/>
        </w:rPr>
        <w:t xml:space="preserve">quarterly </w:t>
      </w:r>
      <w:r w:rsidR="006E5B40">
        <w:rPr>
          <w:rFonts w:ascii="CorpoS" w:hAnsi="CorpoS"/>
          <w:sz w:val="22"/>
          <w:szCs w:val="22"/>
          <w:lang w:val="en-US"/>
        </w:rPr>
        <w:t xml:space="preserve">records </w:t>
      </w:r>
      <w:r w:rsidR="008A1EEB">
        <w:rPr>
          <w:rFonts w:ascii="CorpoS" w:hAnsi="CorpoS"/>
          <w:sz w:val="22"/>
          <w:szCs w:val="22"/>
          <w:lang w:val="en-US"/>
        </w:rPr>
        <w:t>four times in a row</w:t>
      </w:r>
      <w:r w:rsidRPr="00582EE2">
        <w:rPr>
          <w:rFonts w:ascii="CorpoS" w:hAnsi="CorpoS"/>
          <w:sz w:val="22"/>
          <w:szCs w:val="22"/>
          <w:lang w:val="en-US"/>
        </w:rPr>
        <w:t xml:space="preserve">. </w:t>
      </w:r>
      <w:r>
        <w:rPr>
          <w:rFonts w:ascii="CorpoS" w:hAnsi="CorpoS"/>
          <w:sz w:val="22"/>
          <w:szCs w:val="22"/>
          <w:lang w:val="en-US"/>
        </w:rPr>
        <w:t xml:space="preserve">This string of successes </w:t>
      </w:r>
      <w:r w:rsidR="008A1EEB">
        <w:rPr>
          <w:rFonts w:ascii="CorpoS" w:hAnsi="CorpoS"/>
          <w:sz w:val="22"/>
          <w:szCs w:val="22"/>
          <w:lang w:val="en-US"/>
        </w:rPr>
        <w:t>is likely to</w:t>
      </w:r>
      <w:r>
        <w:rPr>
          <w:rFonts w:ascii="CorpoS" w:hAnsi="CorpoS"/>
          <w:sz w:val="22"/>
          <w:szCs w:val="22"/>
          <w:lang w:val="en-US"/>
        </w:rPr>
        <w:t xml:space="preserve"> be reflected in the year-end results.”</w:t>
      </w:r>
      <w:r w:rsidRPr="00582EE2">
        <w:rPr>
          <w:rFonts w:ascii="CorpoS" w:hAnsi="CorpoS"/>
          <w:sz w:val="22"/>
          <w:szCs w:val="22"/>
          <w:lang w:val="en-US"/>
        </w:rPr>
        <w:t xml:space="preserve"> </w:t>
      </w:r>
      <w:r>
        <w:rPr>
          <w:rFonts w:ascii="CorpoS" w:hAnsi="CorpoS"/>
          <w:sz w:val="22"/>
          <w:szCs w:val="22"/>
          <w:lang w:val="en-US"/>
        </w:rPr>
        <w:t xml:space="preserve">For </w:t>
      </w:r>
      <w:r w:rsidRPr="00582EE2">
        <w:rPr>
          <w:rFonts w:ascii="CorpoS" w:hAnsi="CorpoS"/>
          <w:sz w:val="22"/>
          <w:szCs w:val="22"/>
          <w:lang w:val="en-US"/>
        </w:rPr>
        <w:t>2016</w:t>
      </w:r>
      <w:r>
        <w:rPr>
          <w:rFonts w:ascii="CorpoS" w:hAnsi="CorpoS"/>
          <w:sz w:val="22"/>
          <w:szCs w:val="22"/>
          <w:lang w:val="en-US"/>
        </w:rPr>
        <w:t>,</w:t>
      </w:r>
      <w:r w:rsidRPr="00582EE2">
        <w:rPr>
          <w:rFonts w:ascii="CorpoS" w:hAnsi="CorpoS"/>
          <w:sz w:val="22"/>
          <w:szCs w:val="22"/>
          <w:lang w:val="en-US"/>
        </w:rPr>
        <w:t xml:space="preserve"> MTU </w:t>
      </w:r>
      <w:r>
        <w:rPr>
          <w:rFonts w:ascii="CorpoS" w:hAnsi="CorpoS"/>
          <w:sz w:val="22"/>
          <w:szCs w:val="22"/>
          <w:lang w:val="en-US"/>
        </w:rPr>
        <w:t>expects its commercial maintenance revenues, in U.S. dollar terms, to increase by a percentage in the mid-to-high teens.</w:t>
      </w:r>
      <w:r w:rsidRPr="00582EE2">
        <w:rPr>
          <w:rFonts w:ascii="CorpoS" w:hAnsi="CorpoS"/>
          <w:sz w:val="22"/>
          <w:szCs w:val="22"/>
          <w:lang w:val="en-US"/>
        </w:rPr>
        <w:t xml:space="preserve"> </w:t>
      </w:r>
      <w:r>
        <w:rPr>
          <w:rFonts w:ascii="CorpoS" w:hAnsi="CorpoS"/>
          <w:sz w:val="22"/>
          <w:szCs w:val="22"/>
          <w:lang w:val="en-US"/>
        </w:rPr>
        <w:t xml:space="preserve">Until now, a growth rate of </w:t>
      </w:r>
      <w:r w:rsidRPr="00582EE2">
        <w:rPr>
          <w:rFonts w:ascii="CorpoS" w:hAnsi="CorpoS"/>
          <w:sz w:val="22"/>
          <w:szCs w:val="22"/>
          <w:lang w:val="en-US"/>
        </w:rPr>
        <w:t xml:space="preserve">10% </w:t>
      </w:r>
      <w:r>
        <w:rPr>
          <w:rFonts w:ascii="CorpoS" w:hAnsi="CorpoS"/>
          <w:sz w:val="22"/>
          <w:szCs w:val="22"/>
          <w:lang w:val="en-US"/>
        </w:rPr>
        <w:t>had been forecast</w:t>
      </w:r>
      <w:r w:rsidRPr="00582EE2">
        <w:rPr>
          <w:rFonts w:ascii="CorpoS" w:hAnsi="CorpoS"/>
          <w:sz w:val="22"/>
          <w:szCs w:val="22"/>
          <w:lang w:val="en-US"/>
        </w:rPr>
        <w:t>.</w:t>
      </w:r>
    </w:p>
    <w:p w14:paraId="13247EAF" w14:textId="77777777" w:rsidR="00C51A14" w:rsidRPr="0009657C" w:rsidRDefault="00C51A14" w:rsidP="00CF61DC">
      <w:pPr>
        <w:suppressAutoHyphens/>
        <w:spacing w:line="300" w:lineRule="exact"/>
        <w:ind w:right="283"/>
        <w:jc w:val="both"/>
        <w:rPr>
          <w:rFonts w:ascii="CorpoS" w:hAnsi="CorpoS"/>
          <w:sz w:val="22"/>
          <w:szCs w:val="22"/>
          <w:lang w:val="en-US"/>
        </w:rPr>
      </w:pPr>
    </w:p>
    <w:p w14:paraId="7A1CB299" w14:textId="5EC5DF26" w:rsidR="0009657C" w:rsidRPr="00582EE2" w:rsidRDefault="0009657C" w:rsidP="00CF61DC">
      <w:pPr>
        <w:suppressAutoHyphens/>
        <w:spacing w:line="300" w:lineRule="exact"/>
        <w:ind w:right="283"/>
        <w:jc w:val="both"/>
        <w:rPr>
          <w:rFonts w:ascii="CorpoS" w:hAnsi="CorpoS"/>
          <w:sz w:val="22"/>
          <w:szCs w:val="22"/>
          <w:lang w:val="en-US"/>
        </w:rPr>
      </w:pPr>
      <w:r>
        <w:rPr>
          <w:rFonts w:ascii="CorpoS" w:hAnsi="CorpoS"/>
          <w:sz w:val="22"/>
          <w:szCs w:val="22"/>
          <w:lang w:val="en-US"/>
        </w:rPr>
        <w:t xml:space="preserve">Revenues in the commercial engine business have decreased slightly, by </w:t>
      </w:r>
      <w:r w:rsidRPr="00582EE2">
        <w:rPr>
          <w:rFonts w:ascii="CorpoS" w:hAnsi="CorpoS"/>
          <w:sz w:val="22"/>
          <w:szCs w:val="22"/>
          <w:lang w:val="en-US"/>
        </w:rPr>
        <w:t>3%</w:t>
      </w:r>
      <w:r>
        <w:rPr>
          <w:rFonts w:ascii="CorpoS" w:hAnsi="CorpoS"/>
          <w:sz w:val="22"/>
          <w:szCs w:val="22"/>
          <w:lang w:val="en-US"/>
        </w:rPr>
        <w:t>,</w:t>
      </w:r>
      <w:r w:rsidRPr="00582EE2">
        <w:rPr>
          <w:rFonts w:ascii="CorpoS" w:hAnsi="CorpoS"/>
          <w:sz w:val="22"/>
          <w:szCs w:val="22"/>
          <w:lang w:val="en-US"/>
        </w:rPr>
        <w:t xml:space="preserve"> </w:t>
      </w:r>
      <w:r>
        <w:rPr>
          <w:rFonts w:ascii="CorpoS" w:hAnsi="CorpoS"/>
          <w:sz w:val="22"/>
          <w:szCs w:val="22"/>
          <w:lang w:val="en-US"/>
        </w:rPr>
        <w:t xml:space="preserve">to </w:t>
      </w:r>
      <w:r w:rsidRPr="00582EE2">
        <w:rPr>
          <w:rFonts w:ascii="CorpoS" w:hAnsi="CorpoS"/>
          <w:sz w:val="22"/>
          <w:szCs w:val="22"/>
          <w:lang w:val="en-US"/>
        </w:rPr>
        <w:t>€</w:t>
      </w:r>
      <w:r>
        <w:rPr>
          <w:rFonts w:ascii="CorpoS" w:hAnsi="CorpoS"/>
          <w:sz w:val="22"/>
          <w:szCs w:val="22"/>
          <w:lang w:val="en-US"/>
        </w:rPr>
        <w:t>1,738.</w:t>
      </w:r>
      <w:r w:rsidRPr="00582EE2">
        <w:rPr>
          <w:rFonts w:ascii="CorpoS" w:hAnsi="CorpoS"/>
          <w:sz w:val="22"/>
          <w:szCs w:val="22"/>
          <w:lang w:val="en-US"/>
        </w:rPr>
        <w:t xml:space="preserve">3 </w:t>
      </w:r>
      <w:r>
        <w:rPr>
          <w:rFonts w:ascii="CorpoS" w:hAnsi="CorpoS"/>
          <w:sz w:val="22"/>
          <w:szCs w:val="22"/>
          <w:lang w:val="en-US"/>
        </w:rPr>
        <w:t>million</w:t>
      </w:r>
      <w:r w:rsidRPr="00582EE2">
        <w:rPr>
          <w:rFonts w:ascii="CorpoS" w:hAnsi="CorpoS"/>
          <w:sz w:val="22"/>
          <w:szCs w:val="22"/>
          <w:lang w:val="en-US"/>
        </w:rPr>
        <w:t xml:space="preserve"> </w:t>
      </w:r>
      <w:r w:rsidR="00125160">
        <w:rPr>
          <w:rFonts w:ascii="CorpoS" w:hAnsi="CorpoS"/>
          <w:sz w:val="22"/>
          <w:szCs w:val="22"/>
          <w:lang w:val="en-US"/>
        </w:rPr>
        <w:br w:type="textWrapping" w:clear="all"/>
      </w:r>
      <w:r w:rsidRPr="00582EE2">
        <w:rPr>
          <w:rFonts w:ascii="CorpoS" w:hAnsi="CorpoS"/>
          <w:sz w:val="22"/>
          <w:szCs w:val="22"/>
          <w:lang w:val="en-US"/>
        </w:rPr>
        <w:t>(1-9/2015: €</w:t>
      </w:r>
      <w:r>
        <w:rPr>
          <w:rFonts w:ascii="CorpoS" w:hAnsi="CorpoS"/>
          <w:sz w:val="22"/>
          <w:szCs w:val="22"/>
          <w:lang w:val="en-US"/>
        </w:rPr>
        <w:t>1,792.</w:t>
      </w:r>
      <w:r w:rsidRPr="00582EE2">
        <w:rPr>
          <w:rFonts w:ascii="CorpoS" w:hAnsi="CorpoS"/>
          <w:sz w:val="22"/>
          <w:szCs w:val="22"/>
          <w:lang w:val="en-US"/>
        </w:rPr>
        <w:t xml:space="preserve">8 </w:t>
      </w:r>
      <w:r>
        <w:rPr>
          <w:rFonts w:ascii="CorpoS" w:hAnsi="CorpoS"/>
          <w:sz w:val="22"/>
          <w:szCs w:val="22"/>
          <w:lang w:val="en-US"/>
        </w:rPr>
        <w:t>million</w:t>
      </w:r>
      <w:r w:rsidRPr="00582EE2">
        <w:rPr>
          <w:rFonts w:ascii="CorpoS" w:hAnsi="CorpoS"/>
          <w:sz w:val="22"/>
          <w:szCs w:val="22"/>
          <w:lang w:val="en-US"/>
        </w:rPr>
        <w:t xml:space="preserve">). </w:t>
      </w:r>
      <w:r>
        <w:rPr>
          <w:rFonts w:ascii="CorpoS" w:hAnsi="CorpoS"/>
          <w:sz w:val="22"/>
          <w:szCs w:val="22"/>
          <w:lang w:val="en-US"/>
        </w:rPr>
        <w:t>“Growth has been held back by t</w:t>
      </w:r>
      <w:r w:rsidRPr="004A16B7">
        <w:rPr>
          <w:rFonts w:ascii="CorpoS" w:hAnsi="CorpoS"/>
          <w:sz w:val="22"/>
          <w:szCs w:val="22"/>
          <w:lang w:val="en-US"/>
        </w:rPr>
        <w:t xml:space="preserve">he </w:t>
      </w:r>
      <w:r>
        <w:rPr>
          <w:rFonts w:ascii="CorpoS" w:hAnsi="CorpoS"/>
          <w:sz w:val="22"/>
          <w:szCs w:val="22"/>
          <w:lang w:val="en-US"/>
        </w:rPr>
        <w:t xml:space="preserve">postponement of </w:t>
      </w:r>
      <w:r w:rsidR="00955CF7">
        <w:rPr>
          <w:rFonts w:ascii="CorpoS" w:hAnsi="CorpoS"/>
          <w:sz w:val="22"/>
          <w:szCs w:val="22"/>
          <w:lang w:val="en-US"/>
        </w:rPr>
        <w:t xml:space="preserve">the </w:t>
      </w:r>
      <w:r w:rsidRPr="004A16B7">
        <w:rPr>
          <w:rFonts w:ascii="CorpoS" w:hAnsi="CorpoS"/>
          <w:sz w:val="22"/>
          <w:szCs w:val="22"/>
          <w:lang w:val="en-US"/>
        </w:rPr>
        <w:t xml:space="preserve">PW1100G-JM </w:t>
      </w:r>
      <w:r w:rsidR="002A7D65">
        <w:rPr>
          <w:rFonts w:ascii="CorpoS" w:hAnsi="CorpoS"/>
          <w:sz w:val="22"/>
          <w:szCs w:val="22"/>
          <w:lang w:val="en-US"/>
        </w:rPr>
        <w:t xml:space="preserve">engine </w:t>
      </w:r>
      <w:r w:rsidRPr="004A16B7">
        <w:rPr>
          <w:rFonts w:ascii="CorpoS" w:hAnsi="CorpoS"/>
          <w:sz w:val="22"/>
          <w:szCs w:val="22"/>
          <w:lang w:val="en-US"/>
        </w:rPr>
        <w:t>for the A320neo</w:t>
      </w:r>
      <w:r w:rsidRPr="00582EE2">
        <w:rPr>
          <w:rFonts w:ascii="CorpoS" w:hAnsi="CorpoS"/>
          <w:sz w:val="22"/>
          <w:szCs w:val="22"/>
          <w:lang w:val="en-US"/>
        </w:rPr>
        <w:t>,</w:t>
      </w:r>
      <w:r>
        <w:rPr>
          <w:rFonts w:ascii="CorpoS" w:hAnsi="CorpoS"/>
          <w:sz w:val="22"/>
          <w:szCs w:val="22"/>
          <w:lang w:val="en-US"/>
        </w:rPr>
        <w:t xml:space="preserve">” </w:t>
      </w:r>
      <w:proofErr w:type="spellStart"/>
      <w:r w:rsidRPr="00582EE2">
        <w:rPr>
          <w:rFonts w:ascii="CorpoS" w:hAnsi="CorpoS"/>
          <w:sz w:val="22"/>
          <w:szCs w:val="22"/>
          <w:lang w:val="en-US"/>
        </w:rPr>
        <w:t>Schreyögg</w:t>
      </w:r>
      <w:proofErr w:type="spellEnd"/>
      <w:r>
        <w:rPr>
          <w:rFonts w:ascii="CorpoS" w:hAnsi="CorpoS"/>
          <w:sz w:val="22"/>
          <w:szCs w:val="22"/>
          <w:lang w:val="en-US"/>
        </w:rPr>
        <w:t xml:space="preserve"> explain</w:t>
      </w:r>
      <w:r w:rsidR="00955CF7">
        <w:rPr>
          <w:rFonts w:ascii="CorpoS" w:hAnsi="CorpoS"/>
          <w:sz w:val="22"/>
          <w:szCs w:val="22"/>
          <w:lang w:val="en-US"/>
        </w:rPr>
        <w:t>ed</w:t>
      </w:r>
      <w:r w:rsidRPr="00582EE2">
        <w:rPr>
          <w:rFonts w:ascii="CorpoS" w:hAnsi="CorpoS"/>
          <w:sz w:val="22"/>
          <w:szCs w:val="22"/>
          <w:lang w:val="en-US"/>
        </w:rPr>
        <w:t xml:space="preserve">. </w:t>
      </w:r>
      <w:r>
        <w:rPr>
          <w:rFonts w:ascii="CorpoS" w:hAnsi="CorpoS"/>
          <w:sz w:val="22"/>
          <w:szCs w:val="22"/>
          <w:lang w:val="en-US"/>
        </w:rPr>
        <w:t xml:space="preserve">“The effect on </w:t>
      </w:r>
      <w:r w:rsidR="00955CF7">
        <w:rPr>
          <w:rFonts w:ascii="CorpoS" w:hAnsi="CorpoS"/>
          <w:sz w:val="22"/>
          <w:szCs w:val="22"/>
          <w:lang w:val="en-US"/>
        </w:rPr>
        <w:t>the</w:t>
      </w:r>
      <w:r>
        <w:rPr>
          <w:rFonts w:ascii="CorpoS" w:hAnsi="CorpoS"/>
          <w:sz w:val="22"/>
          <w:szCs w:val="22"/>
          <w:lang w:val="en-US"/>
        </w:rPr>
        <w:t xml:space="preserve"> full-year is such that we now expect new </w:t>
      </w:r>
      <w:r w:rsidR="00955CF7">
        <w:rPr>
          <w:rFonts w:ascii="CorpoS" w:hAnsi="CorpoS"/>
          <w:sz w:val="22"/>
          <w:szCs w:val="22"/>
          <w:lang w:val="en-US"/>
        </w:rPr>
        <w:t>engine sales</w:t>
      </w:r>
      <w:r>
        <w:rPr>
          <w:rFonts w:ascii="CorpoS" w:hAnsi="CorpoS"/>
          <w:sz w:val="22"/>
          <w:szCs w:val="22"/>
          <w:lang w:val="en-US"/>
        </w:rPr>
        <w:t>, in U.S. dollar terms, to equal the previous year’s level, instead of increasing by a percentage in the mid-single-digit range.”</w:t>
      </w:r>
      <w:r w:rsidRPr="00582EE2">
        <w:rPr>
          <w:rFonts w:ascii="CorpoS" w:hAnsi="CorpoS"/>
          <w:sz w:val="22"/>
          <w:szCs w:val="22"/>
          <w:lang w:val="en-US"/>
        </w:rPr>
        <w:t xml:space="preserve"> </w:t>
      </w:r>
      <w:r>
        <w:rPr>
          <w:rFonts w:ascii="CorpoS" w:hAnsi="CorpoS"/>
          <w:sz w:val="22"/>
          <w:szCs w:val="22"/>
          <w:lang w:val="en-US"/>
        </w:rPr>
        <w:t>T</w:t>
      </w:r>
      <w:r w:rsidRPr="004A16B7">
        <w:rPr>
          <w:rFonts w:ascii="CorpoS" w:hAnsi="CorpoS"/>
          <w:sz w:val="22"/>
          <w:szCs w:val="22"/>
          <w:lang w:val="en-US"/>
        </w:rPr>
        <w:t xml:space="preserve">he </w:t>
      </w:r>
      <w:r w:rsidR="002A7D65">
        <w:rPr>
          <w:rFonts w:ascii="CorpoS" w:hAnsi="CorpoS"/>
          <w:sz w:val="22"/>
          <w:szCs w:val="22"/>
          <w:lang w:val="en-US"/>
        </w:rPr>
        <w:t xml:space="preserve">engine programs </w:t>
      </w:r>
      <w:r w:rsidRPr="004A16B7">
        <w:rPr>
          <w:rFonts w:ascii="CorpoS" w:hAnsi="CorpoS"/>
          <w:sz w:val="22"/>
          <w:szCs w:val="22"/>
          <w:lang w:val="en-US"/>
        </w:rPr>
        <w:t xml:space="preserve">V2500, GP7000 </w:t>
      </w:r>
      <w:r w:rsidR="002A7D65">
        <w:rPr>
          <w:rFonts w:ascii="CorpoS" w:hAnsi="CorpoS"/>
          <w:sz w:val="22"/>
          <w:szCs w:val="22"/>
          <w:lang w:val="en-US"/>
        </w:rPr>
        <w:t xml:space="preserve">for the A380 and </w:t>
      </w:r>
      <w:proofErr w:type="spellStart"/>
      <w:r w:rsidRPr="004A16B7">
        <w:rPr>
          <w:rFonts w:ascii="CorpoS" w:hAnsi="CorpoS"/>
          <w:sz w:val="22"/>
          <w:szCs w:val="22"/>
          <w:lang w:val="en-US"/>
        </w:rPr>
        <w:t>GEnx</w:t>
      </w:r>
      <w:proofErr w:type="spellEnd"/>
      <w:r w:rsidRPr="004A16B7">
        <w:rPr>
          <w:rFonts w:ascii="CorpoS" w:hAnsi="CorpoS"/>
          <w:sz w:val="22"/>
          <w:szCs w:val="22"/>
          <w:lang w:val="en-US"/>
        </w:rPr>
        <w:t xml:space="preserve"> for the Boeing 787 and 747-8 </w:t>
      </w:r>
      <w:r w:rsidR="00392ACA">
        <w:rPr>
          <w:rFonts w:ascii="CorpoS" w:hAnsi="CorpoS"/>
          <w:sz w:val="22"/>
          <w:szCs w:val="22"/>
          <w:lang w:val="en-US"/>
        </w:rPr>
        <w:t>generate</w:t>
      </w:r>
      <w:r w:rsidR="00955CF7">
        <w:rPr>
          <w:rFonts w:ascii="CorpoS" w:hAnsi="CorpoS"/>
          <w:sz w:val="22"/>
          <w:szCs w:val="22"/>
          <w:lang w:val="en-US"/>
        </w:rPr>
        <w:t>d</w:t>
      </w:r>
      <w:r w:rsidRPr="004A16B7">
        <w:rPr>
          <w:rFonts w:ascii="CorpoS" w:hAnsi="CorpoS"/>
          <w:sz w:val="22"/>
          <w:szCs w:val="22"/>
          <w:lang w:val="en-US"/>
        </w:rPr>
        <w:t xml:space="preserve"> the great</w:t>
      </w:r>
      <w:r w:rsidR="00392ACA">
        <w:rPr>
          <w:rFonts w:ascii="CorpoS" w:hAnsi="CorpoS"/>
          <w:sz w:val="22"/>
          <w:szCs w:val="22"/>
          <w:lang w:val="en-US"/>
        </w:rPr>
        <w:t>est share</w:t>
      </w:r>
      <w:r w:rsidRPr="004A16B7">
        <w:rPr>
          <w:rFonts w:ascii="CorpoS" w:hAnsi="CorpoS"/>
          <w:sz w:val="22"/>
          <w:szCs w:val="22"/>
          <w:lang w:val="en-US"/>
        </w:rPr>
        <w:t xml:space="preserve"> of revenues</w:t>
      </w:r>
      <w:r>
        <w:rPr>
          <w:rFonts w:ascii="CorpoS" w:hAnsi="CorpoS"/>
          <w:sz w:val="22"/>
          <w:szCs w:val="22"/>
          <w:lang w:val="en-US"/>
        </w:rPr>
        <w:t xml:space="preserve"> i</w:t>
      </w:r>
      <w:r w:rsidRPr="004A16B7">
        <w:rPr>
          <w:rFonts w:ascii="CorpoS" w:hAnsi="CorpoS"/>
          <w:sz w:val="22"/>
          <w:szCs w:val="22"/>
          <w:lang w:val="en-US"/>
        </w:rPr>
        <w:t xml:space="preserve">n </w:t>
      </w:r>
      <w:r w:rsidR="00955CF7">
        <w:rPr>
          <w:rFonts w:ascii="CorpoS" w:hAnsi="CorpoS"/>
          <w:sz w:val="22"/>
          <w:szCs w:val="22"/>
          <w:lang w:val="en-US"/>
        </w:rPr>
        <w:t>the commercial engine business</w:t>
      </w:r>
      <w:r w:rsidRPr="00582EE2">
        <w:rPr>
          <w:rFonts w:ascii="CorpoS" w:hAnsi="CorpoS"/>
          <w:sz w:val="22"/>
          <w:szCs w:val="22"/>
          <w:lang w:val="en-US"/>
        </w:rPr>
        <w:t>.</w:t>
      </w:r>
      <w:r>
        <w:rPr>
          <w:rFonts w:ascii="CorpoS" w:hAnsi="CorpoS"/>
          <w:sz w:val="22"/>
          <w:szCs w:val="22"/>
          <w:lang w:val="en-US"/>
        </w:rPr>
        <w:t xml:space="preserve"> MTU expects deliveries of the PW1100G-JM for the A320neo to rise steeply in the fourth quarter, pushing revenues up accordingly.</w:t>
      </w:r>
    </w:p>
    <w:p w14:paraId="39FC8C2C" w14:textId="77777777" w:rsidR="008064CE" w:rsidRPr="0009657C" w:rsidRDefault="008064CE" w:rsidP="00CF61DC">
      <w:pPr>
        <w:suppressAutoHyphens/>
        <w:spacing w:line="300" w:lineRule="exact"/>
        <w:ind w:right="283"/>
        <w:jc w:val="both"/>
        <w:rPr>
          <w:rFonts w:ascii="CorpoS" w:hAnsi="CorpoS"/>
          <w:sz w:val="22"/>
          <w:szCs w:val="22"/>
          <w:lang w:val="en-US"/>
        </w:rPr>
      </w:pPr>
    </w:p>
    <w:p w14:paraId="289A3FBD" w14:textId="48EE97DB" w:rsidR="0009657C" w:rsidRPr="00582EE2" w:rsidRDefault="0009657C" w:rsidP="00CF61DC">
      <w:pPr>
        <w:suppressAutoHyphens/>
        <w:spacing w:line="300" w:lineRule="exact"/>
        <w:ind w:right="283"/>
        <w:jc w:val="both"/>
        <w:rPr>
          <w:rFonts w:ascii="CorpoS" w:hAnsi="CorpoS"/>
          <w:sz w:val="22"/>
          <w:szCs w:val="22"/>
          <w:lang w:val="en-US"/>
        </w:rPr>
      </w:pPr>
      <w:r>
        <w:rPr>
          <w:rFonts w:ascii="CorpoS" w:hAnsi="CorpoS"/>
          <w:sz w:val="22"/>
          <w:szCs w:val="22"/>
          <w:lang w:val="en-US"/>
        </w:rPr>
        <w:lastRenderedPageBreak/>
        <w:t xml:space="preserve">Revenues in the military engine business increased slightly by </w:t>
      </w:r>
      <w:r w:rsidRPr="00582EE2">
        <w:rPr>
          <w:rFonts w:ascii="CorpoS" w:hAnsi="CorpoS"/>
          <w:sz w:val="22"/>
          <w:szCs w:val="22"/>
          <w:lang w:val="en-US"/>
        </w:rPr>
        <w:t xml:space="preserve">3% </w:t>
      </w:r>
      <w:r>
        <w:rPr>
          <w:rFonts w:ascii="CorpoS" w:hAnsi="CorpoS"/>
          <w:sz w:val="22"/>
          <w:szCs w:val="22"/>
          <w:lang w:val="en-US"/>
        </w:rPr>
        <w:t xml:space="preserve">to </w:t>
      </w:r>
      <w:r w:rsidRPr="00582EE2">
        <w:rPr>
          <w:rFonts w:ascii="CorpoS" w:hAnsi="CorpoS"/>
          <w:sz w:val="22"/>
          <w:szCs w:val="22"/>
          <w:lang w:val="en-US"/>
        </w:rPr>
        <w:t>€356</w:t>
      </w:r>
      <w:r>
        <w:rPr>
          <w:rFonts w:ascii="CorpoS" w:hAnsi="CorpoS"/>
          <w:sz w:val="22"/>
          <w:szCs w:val="22"/>
          <w:lang w:val="en-US"/>
        </w:rPr>
        <w:t>.</w:t>
      </w:r>
      <w:r w:rsidRPr="00582EE2">
        <w:rPr>
          <w:rFonts w:ascii="CorpoS" w:hAnsi="CorpoS"/>
          <w:sz w:val="22"/>
          <w:szCs w:val="22"/>
          <w:lang w:val="en-US"/>
        </w:rPr>
        <w:t xml:space="preserve">8 </w:t>
      </w:r>
      <w:r>
        <w:rPr>
          <w:rFonts w:ascii="CorpoS" w:hAnsi="CorpoS"/>
          <w:sz w:val="22"/>
          <w:szCs w:val="22"/>
          <w:lang w:val="en-US"/>
        </w:rPr>
        <w:t>million</w:t>
      </w:r>
      <w:r w:rsidRPr="00582EE2">
        <w:rPr>
          <w:rFonts w:ascii="CorpoS" w:hAnsi="CorpoS"/>
          <w:sz w:val="22"/>
          <w:szCs w:val="22"/>
          <w:lang w:val="en-US"/>
        </w:rPr>
        <w:t xml:space="preserve"> (1-9/2015: €</w:t>
      </w:r>
      <w:r>
        <w:rPr>
          <w:rFonts w:ascii="CorpoS" w:hAnsi="CorpoS"/>
          <w:sz w:val="22"/>
          <w:szCs w:val="22"/>
          <w:lang w:val="en-US"/>
        </w:rPr>
        <w:t>345.</w:t>
      </w:r>
      <w:r w:rsidRPr="00582EE2">
        <w:rPr>
          <w:rFonts w:ascii="CorpoS" w:hAnsi="CorpoS"/>
          <w:sz w:val="22"/>
          <w:szCs w:val="22"/>
          <w:lang w:val="en-US"/>
        </w:rPr>
        <w:t xml:space="preserve">9 </w:t>
      </w:r>
      <w:r>
        <w:rPr>
          <w:rFonts w:ascii="CorpoS" w:hAnsi="CorpoS"/>
          <w:sz w:val="22"/>
          <w:szCs w:val="22"/>
          <w:lang w:val="en-US"/>
        </w:rPr>
        <w:t>million</w:t>
      </w:r>
      <w:r w:rsidRPr="00582EE2">
        <w:rPr>
          <w:rFonts w:ascii="CorpoS" w:hAnsi="CorpoS"/>
          <w:sz w:val="22"/>
          <w:szCs w:val="22"/>
          <w:lang w:val="en-US"/>
        </w:rPr>
        <w:t xml:space="preserve">). </w:t>
      </w:r>
      <w:r>
        <w:rPr>
          <w:rFonts w:ascii="CorpoS" w:hAnsi="CorpoS"/>
          <w:sz w:val="22"/>
          <w:szCs w:val="22"/>
          <w:lang w:val="en-US"/>
        </w:rPr>
        <w:t xml:space="preserve">The </w:t>
      </w:r>
      <w:r w:rsidRPr="00F304B0">
        <w:rPr>
          <w:rFonts w:ascii="CorpoS" w:hAnsi="CorpoS"/>
          <w:sz w:val="22"/>
          <w:szCs w:val="22"/>
          <w:lang w:val="en-US"/>
        </w:rPr>
        <w:t>EJ200</w:t>
      </w:r>
      <w:r>
        <w:rPr>
          <w:rFonts w:ascii="CorpoS" w:hAnsi="CorpoS"/>
          <w:sz w:val="22"/>
          <w:szCs w:val="22"/>
          <w:lang w:val="en-US"/>
        </w:rPr>
        <w:t xml:space="preserve"> Eurofighter engine was the main source of these revenues. In its full-year forecast, too, MTU expects military engine revenues to increase slightly. Until now, revenues </w:t>
      </w:r>
      <w:r w:rsidR="002A7D65">
        <w:rPr>
          <w:rFonts w:ascii="CorpoS" w:hAnsi="CorpoS"/>
          <w:sz w:val="22"/>
          <w:szCs w:val="22"/>
          <w:lang w:val="en-US"/>
        </w:rPr>
        <w:t>were expected</w:t>
      </w:r>
      <w:r w:rsidR="002A7D65">
        <w:rPr>
          <w:rFonts w:ascii="CorpoS" w:hAnsi="CorpoS"/>
          <w:sz w:val="22"/>
          <w:szCs w:val="22"/>
          <w:lang w:val="en-US"/>
        </w:rPr>
        <w:t xml:space="preserve"> </w:t>
      </w:r>
      <w:r>
        <w:rPr>
          <w:rFonts w:ascii="CorpoS" w:hAnsi="CorpoS"/>
          <w:sz w:val="22"/>
          <w:szCs w:val="22"/>
          <w:lang w:val="en-US"/>
        </w:rPr>
        <w:t>on the same level as 2015.</w:t>
      </w:r>
    </w:p>
    <w:p w14:paraId="408C01A3" w14:textId="77777777" w:rsidR="00C51A14" w:rsidRPr="0009657C" w:rsidRDefault="00C51A14" w:rsidP="00CF61DC">
      <w:pPr>
        <w:tabs>
          <w:tab w:val="left" w:pos="7655"/>
          <w:tab w:val="left" w:pos="9072"/>
        </w:tabs>
        <w:suppressAutoHyphens/>
        <w:spacing w:line="300" w:lineRule="exact"/>
        <w:ind w:right="283"/>
        <w:jc w:val="both"/>
        <w:rPr>
          <w:rFonts w:ascii="CorpoS" w:hAnsi="CorpoS"/>
          <w:sz w:val="22"/>
          <w:szCs w:val="22"/>
          <w:lang w:val="en-US"/>
        </w:rPr>
      </w:pPr>
    </w:p>
    <w:p w14:paraId="5627AB19" w14:textId="680E9037" w:rsidR="0009657C" w:rsidRPr="00582EE2" w:rsidRDefault="0009657C" w:rsidP="00CF61DC">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 xml:space="preserve">At September 30, 2016, MTU had an order backlog of </w:t>
      </w:r>
      <w:r w:rsidRPr="00582EE2">
        <w:rPr>
          <w:rFonts w:ascii="CorpoS" w:hAnsi="CorpoS"/>
          <w:sz w:val="22"/>
          <w:szCs w:val="22"/>
          <w:lang w:val="en-US"/>
        </w:rPr>
        <w:t>€11</w:t>
      </w:r>
      <w:r>
        <w:rPr>
          <w:rFonts w:ascii="CorpoS" w:hAnsi="CorpoS"/>
          <w:sz w:val="22"/>
          <w:szCs w:val="22"/>
          <w:lang w:val="en-US"/>
        </w:rPr>
        <w:t>,</w:t>
      </w:r>
      <w:r w:rsidRPr="00582EE2">
        <w:rPr>
          <w:rFonts w:ascii="CorpoS" w:hAnsi="CorpoS"/>
          <w:sz w:val="22"/>
          <w:szCs w:val="22"/>
          <w:lang w:val="en-US"/>
        </w:rPr>
        <w:t>153</w:t>
      </w:r>
      <w:r>
        <w:rPr>
          <w:rFonts w:ascii="CorpoS" w:hAnsi="CorpoS"/>
          <w:sz w:val="22"/>
          <w:szCs w:val="22"/>
          <w:lang w:val="en-US"/>
        </w:rPr>
        <w:t>.</w:t>
      </w:r>
      <w:r w:rsidRPr="00582EE2">
        <w:rPr>
          <w:rFonts w:ascii="CorpoS" w:hAnsi="CorpoS"/>
          <w:sz w:val="22"/>
          <w:szCs w:val="22"/>
          <w:lang w:val="en-US"/>
        </w:rPr>
        <w:t xml:space="preserve">0 </w:t>
      </w:r>
      <w:r>
        <w:rPr>
          <w:rFonts w:ascii="CorpoS" w:hAnsi="CorpoS"/>
          <w:sz w:val="22"/>
          <w:szCs w:val="22"/>
          <w:lang w:val="en-US"/>
        </w:rPr>
        <w:t>million</w:t>
      </w:r>
      <w:r w:rsidRPr="00582EE2">
        <w:rPr>
          <w:rFonts w:ascii="CorpoS" w:hAnsi="CorpoS"/>
          <w:sz w:val="22"/>
          <w:szCs w:val="22"/>
          <w:lang w:val="en-US"/>
        </w:rPr>
        <w:t xml:space="preserve"> (</w:t>
      </w:r>
      <w:r>
        <w:rPr>
          <w:rFonts w:ascii="CorpoS" w:hAnsi="CorpoS"/>
          <w:sz w:val="22"/>
          <w:szCs w:val="22"/>
          <w:lang w:val="en-US"/>
        </w:rPr>
        <w:t>Dec 3</w:t>
      </w:r>
      <w:r w:rsidRPr="00582EE2">
        <w:rPr>
          <w:rFonts w:ascii="CorpoS" w:hAnsi="CorpoS"/>
          <w:sz w:val="22"/>
          <w:szCs w:val="22"/>
          <w:lang w:val="en-US"/>
        </w:rPr>
        <w:t>1</w:t>
      </w:r>
      <w:r>
        <w:rPr>
          <w:rFonts w:ascii="CorpoS" w:hAnsi="CorpoS"/>
          <w:sz w:val="22"/>
          <w:szCs w:val="22"/>
          <w:lang w:val="en-US"/>
        </w:rPr>
        <w:t xml:space="preserve">, </w:t>
      </w:r>
      <w:r w:rsidRPr="00582EE2">
        <w:rPr>
          <w:rFonts w:ascii="CorpoS" w:hAnsi="CorpoS"/>
          <w:sz w:val="22"/>
          <w:szCs w:val="22"/>
          <w:lang w:val="en-US"/>
        </w:rPr>
        <w:t xml:space="preserve">2015: </w:t>
      </w:r>
      <w:r w:rsidR="00125160">
        <w:rPr>
          <w:rFonts w:ascii="CorpoS" w:hAnsi="CorpoS"/>
          <w:sz w:val="22"/>
          <w:szCs w:val="22"/>
          <w:lang w:val="en-US"/>
        </w:rPr>
        <w:br w:type="textWrapping" w:clear="all"/>
      </w:r>
      <w:r w:rsidRPr="00582EE2">
        <w:rPr>
          <w:rFonts w:ascii="CorpoS" w:hAnsi="CorpoS"/>
          <w:sz w:val="22"/>
          <w:szCs w:val="22"/>
          <w:lang w:val="en-US"/>
        </w:rPr>
        <w:t>€</w:t>
      </w:r>
      <w:r>
        <w:rPr>
          <w:rFonts w:ascii="CorpoS" w:hAnsi="CorpoS"/>
          <w:sz w:val="22"/>
          <w:szCs w:val="22"/>
          <w:lang w:val="en-US"/>
        </w:rPr>
        <w:t>12,493.</w:t>
      </w:r>
      <w:r w:rsidRPr="00582EE2">
        <w:rPr>
          <w:rFonts w:ascii="CorpoS" w:hAnsi="CorpoS"/>
          <w:sz w:val="22"/>
          <w:szCs w:val="22"/>
          <w:lang w:val="en-US"/>
        </w:rPr>
        <w:t xml:space="preserve">7 </w:t>
      </w:r>
      <w:r>
        <w:rPr>
          <w:rFonts w:ascii="CorpoS" w:hAnsi="CorpoS"/>
          <w:sz w:val="22"/>
          <w:szCs w:val="22"/>
          <w:lang w:val="en-US"/>
        </w:rPr>
        <w:t>million</w:t>
      </w:r>
      <w:r w:rsidRPr="00582EE2">
        <w:rPr>
          <w:rFonts w:ascii="CorpoS" w:hAnsi="CorpoS"/>
          <w:sz w:val="22"/>
          <w:szCs w:val="22"/>
          <w:lang w:val="en-US"/>
        </w:rPr>
        <w:t xml:space="preserve">). </w:t>
      </w:r>
      <w:r w:rsidRPr="004A16B7">
        <w:rPr>
          <w:rFonts w:ascii="CorpoS" w:hAnsi="CorpoS"/>
          <w:sz w:val="22"/>
          <w:szCs w:val="22"/>
          <w:lang w:val="en-US"/>
        </w:rPr>
        <w:t xml:space="preserve">The </w:t>
      </w:r>
      <w:r w:rsidR="00392ACA">
        <w:rPr>
          <w:rFonts w:ascii="CorpoS" w:hAnsi="CorpoS"/>
          <w:sz w:val="22"/>
          <w:szCs w:val="22"/>
          <w:lang w:val="en-US"/>
        </w:rPr>
        <w:t>majority</w:t>
      </w:r>
      <w:r w:rsidRPr="004A16B7">
        <w:rPr>
          <w:rFonts w:ascii="CorpoS" w:hAnsi="CorpoS"/>
          <w:sz w:val="22"/>
          <w:szCs w:val="22"/>
          <w:lang w:val="en-US"/>
        </w:rPr>
        <w:t xml:space="preserve"> of these order</w:t>
      </w:r>
      <w:r>
        <w:rPr>
          <w:rFonts w:ascii="CorpoS" w:hAnsi="CorpoS"/>
          <w:sz w:val="22"/>
          <w:szCs w:val="22"/>
          <w:lang w:val="en-US"/>
        </w:rPr>
        <w:t>s relate to</w:t>
      </w:r>
      <w:r w:rsidRPr="004A16B7">
        <w:rPr>
          <w:rFonts w:ascii="CorpoS" w:hAnsi="CorpoS"/>
          <w:sz w:val="22"/>
          <w:szCs w:val="22"/>
          <w:lang w:val="en-US"/>
        </w:rPr>
        <w:t xml:space="preserve"> the V2500 and the </w:t>
      </w:r>
      <w:r w:rsidRPr="00B36AD6">
        <w:rPr>
          <w:rFonts w:ascii="CorpoS" w:hAnsi="CorpoS"/>
          <w:sz w:val="22"/>
          <w:szCs w:val="22"/>
          <w:lang w:val="en-US"/>
        </w:rPr>
        <w:t>geared turbofan</w:t>
      </w:r>
      <w:r w:rsidRPr="004A16B7">
        <w:rPr>
          <w:rFonts w:ascii="CorpoS" w:hAnsi="CorpoS"/>
          <w:sz w:val="22"/>
          <w:szCs w:val="22"/>
          <w:lang w:val="en-US"/>
        </w:rPr>
        <w:t xml:space="preserve"> </w:t>
      </w:r>
      <w:r>
        <w:rPr>
          <w:rFonts w:ascii="CorpoS" w:hAnsi="CorpoS"/>
          <w:sz w:val="22"/>
          <w:szCs w:val="22"/>
          <w:lang w:val="en-US"/>
        </w:rPr>
        <w:t>engines</w:t>
      </w:r>
      <w:r w:rsidRPr="004A16B7">
        <w:rPr>
          <w:rFonts w:ascii="CorpoS" w:hAnsi="CorpoS"/>
          <w:sz w:val="22"/>
          <w:szCs w:val="22"/>
          <w:lang w:val="en-US"/>
        </w:rPr>
        <w:t xml:space="preserve"> of the PW1000G family, </w:t>
      </w:r>
      <w:r w:rsidR="009E5FB4">
        <w:rPr>
          <w:rFonts w:ascii="CorpoS" w:hAnsi="CorpoS"/>
          <w:sz w:val="22"/>
          <w:szCs w:val="22"/>
          <w:lang w:val="en-US"/>
        </w:rPr>
        <w:t>in particular</w:t>
      </w:r>
      <w:r w:rsidR="009E5FB4" w:rsidRPr="004A16B7">
        <w:rPr>
          <w:rFonts w:ascii="CorpoS" w:hAnsi="CorpoS"/>
          <w:sz w:val="22"/>
          <w:szCs w:val="22"/>
          <w:lang w:val="en-US"/>
        </w:rPr>
        <w:t xml:space="preserve"> </w:t>
      </w:r>
      <w:r w:rsidRPr="004A16B7">
        <w:rPr>
          <w:rFonts w:ascii="CorpoS" w:hAnsi="CorpoS"/>
          <w:sz w:val="22"/>
          <w:szCs w:val="22"/>
          <w:lang w:val="en-US"/>
        </w:rPr>
        <w:t>the PW1100G-JM for the A320neo</w:t>
      </w:r>
      <w:r w:rsidRPr="00582EE2">
        <w:rPr>
          <w:rFonts w:ascii="CorpoS" w:hAnsi="CorpoS"/>
          <w:sz w:val="22"/>
          <w:szCs w:val="22"/>
          <w:lang w:val="en-US"/>
        </w:rPr>
        <w:t>.</w:t>
      </w:r>
    </w:p>
    <w:p w14:paraId="4ADBB29A" w14:textId="77777777" w:rsidR="00C51A14" w:rsidRPr="0009657C" w:rsidRDefault="00C51A14" w:rsidP="00CF61DC">
      <w:pPr>
        <w:tabs>
          <w:tab w:val="left" w:pos="7655"/>
          <w:tab w:val="left" w:pos="9072"/>
        </w:tabs>
        <w:suppressAutoHyphens/>
        <w:spacing w:line="300" w:lineRule="exact"/>
        <w:ind w:right="283"/>
        <w:jc w:val="both"/>
        <w:rPr>
          <w:rFonts w:ascii="CorpoS" w:hAnsi="CorpoS"/>
          <w:sz w:val="22"/>
          <w:szCs w:val="22"/>
          <w:lang w:val="en-US"/>
        </w:rPr>
      </w:pPr>
    </w:p>
    <w:p w14:paraId="695F9396" w14:textId="55634A12" w:rsidR="0009657C" w:rsidRPr="00582EE2" w:rsidRDefault="004D172F" w:rsidP="00CF61DC">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Both of MTU’s operating segments reported higher earnings i</w:t>
      </w:r>
      <w:r w:rsidR="0009657C">
        <w:rPr>
          <w:rFonts w:ascii="CorpoS" w:hAnsi="CorpoS"/>
          <w:sz w:val="22"/>
          <w:szCs w:val="22"/>
          <w:lang w:val="en-US"/>
        </w:rPr>
        <w:t>n the first nine months of 2016.</w:t>
      </w:r>
      <w:r w:rsidR="0009657C" w:rsidRPr="00582EE2">
        <w:rPr>
          <w:rFonts w:ascii="CorpoS" w:hAnsi="CorpoS"/>
          <w:sz w:val="22"/>
          <w:szCs w:val="22"/>
          <w:lang w:val="en-US"/>
        </w:rPr>
        <w:t xml:space="preserve"> </w:t>
      </w:r>
      <w:r w:rsidR="0009657C">
        <w:rPr>
          <w:rFonts w:ascii="CorpoS" w:hAnsi="CorpoS"/>
          <w:sz w:val="22"/>
          <w:szCs w:val="22"/>
          <w:lang w:val="en-US"/>
        </w:rPr>
        <w:t xml:space="preserve">In the OEM segment, </w:t>
      </w:r>
      <w:r w:rsidR="00955CF7">
        <w:rPr>
          <w:rFonts w:ascii="CorpoS" w:hAnsi="CorpoS"/>
          <w:sz w:val="22"/>
          <w:szCs w:val="22"/>
          <w:lang w:val="en-US"/>
        </w:rPr>
        <w:t xml:space="preserve">adjusted </w:t>
      </w:r>
      <w:r w:rsidR="0009657C">
        <w:rPr>
          <w:rFonts w:ascii="CorpoS" w:hAnsi="CorpoS"/>
          <w:sz w:val="22"/>
          <w:szCs w:val="22"/>
          <w:lang w:val="en-US"/>
        </w:rPr>
        <w:t xml:space="preserve">EBIT climbed </w:t>
      </w:r>
      <w:r w:rsidR="0009657C" w:rsidRPr="00582EE2">
        <w:rPr>
          <w:rFonts w:ascii="CorpoS" w:hAnsi="CorpoS"/>
          <w:sz w:val="22"/>
          <w:szCs w:val="22"/>
          <w:lang w:val="en-US"/>
        </w:rPr>
        <w:t xml:space="preserve">20% </w:t>
      </w:r>
      <w:r w:rsidR="0009657C">
        <w:rPr>
          <w:rFonts w:ascii="CorpoS" w:hAnsi="CorpoS"/>
          <w:sz w:val="22"/>
          <w:szCs w:val="22"/>
          <w:lang w:val="en-US"/>
        </w:rPr>
        <w:t xml:space="preserve">to </w:t>
      </w:r>
      <w:r w:rsidR="0009657C" w:rsidRPr="00582EE2">
        <w:rPr>
          <w:rFonts w:ascii="CorpoS" w:hAnsi="CorpoS"/>
          <w:sz w:val="22"/>
          <w:szCs w:val="22"/>
          <w:lang w:val="en-US"/>
        </w:rPr>
        <w:t>€</w:t>
      </w:r>
      <w:r w:rsidR="0009657C">
        <w:rPr>
          <w:rFonts w:ascii="CorpoS" w:hAnsi="CorpoS"/>
          <w:sz w:val="22"/>
          <w:szCs w:val="22"/>
          <w:lang w:val="en-US"/>
        </w:rPr>
        <w:t>264.</w:t>
      </w:r>
      <w:r w:rsidR="0009657C" w:rsidRPr="00582EE2">
        <w:rPr>
          <w:rFonts w:ascii="CorpoS" w:hAnsi="CorpoS"/>
          <w:sz w:val="22"/>
          <w:szCs w:val="22"/>
          <w:lang w:val="en-US"/>
        </w:rPr>
        <w:t xml:space="preserve">5 </w:t>
      </w:r>
      <w:r w:rsidR="0009657C">
        <w:rPr>
          <w:rFonts w:ascii="CorpoS" w:hAnsi="CorpoS"/>
          <w:sz w:val="22"/>
          <w:szCs w:val="22"/>
          <w:lang w:val="en-US"/>
        </w:rPr>
        <w:t>million</w:t>
      </w:r>
      <w:r w:rsidR="0009657C" w:rsidRPr="00582EE2">
        <w:rPr>
          <w:rFonts w:ascii="CorpoS" w:hAnsi="CorpoS"/>
          <w:sz w:val="22"/>
          <w:szCs w:val="22"/>
          <w:lang w:val="en-US"/>
        </w:rPr>
        <w:t xml:space="preserve"> (1-9/2015: €</w:t>
      </w:r>
      <w:r w:rsidR="0009657C">
        <w:rPr>
          <w:rFonts w:ascii="CorpoS" w:hAnsi="CorpoS"/>
          <w:sz w:val="22"/>
          <w:szCs w:val="22"/>
          <w:lang w:val="en-US"/>
        </w:rPr>
        <w:t>220.</w:t>
      </w:r>
      <w:r w:rsidR="0009657C" w:rsidRPr="00582EE2">
        <w:rPr>
          <w:rFonts w:ascii="CorpoS" w:hAnsi="CorpoS"/>
          <w:sz w:val="22"/>
          <w:szCs w:val="22"/>
          <w:lang w:val="en-US"/>
        </w:rPr>
        <w:t xml:space="preserve">4 </w:t>
      </w:r>
      <w:r w:rsidR="0009657C">
        <w:rPr>
          <w:rFonts w:ascii="CorpoS" w:hAnsi="CorpoS"/>
          <w:sz w:val="22"/>
          <w:szCs w:val="22"/>
          <w:lang w:val="en-US"/>
        </w:rPr>
        <w:t>million</w:t>
      </w:r>
      <w:r w:rsidR="0009657C" w:rsidRPr="00582EE2">
        <w:rPr>
          <w:rFonts w:ascii="CorpoS" w:hAnsi="CorpoS"/>
          <w:sz w:val="22"/>
          <w:szCs w:val="22"/>
          <w:lang w:val="en-US"/>
        </w:rPr>
        <w:t>)</w:t>
      </w:r>
      <w:r w:rsidR="0009657C">
        <w:rPr>
          <w:rFonts w:ascii="CorpoS" w:hAnsi="CorpoS"/>
          <w:sz w:val="22"/>
          <w:szCs w:val="22"/>
          <w:lang w:val="en-US"/>
        </w:rPr>
        <w:t>, while the EBIT margin gained 2.</w:t>
      </w:r>
      <w:r w:rsidR="0009657C" w:rsidRPr="00582EE2">
        <w:rPr>
          <w:rFonts w:ascii="CorpoS" w:hAnsi="CorpoS"/>
          <w:sz w:val="22"/>
          <w:szCs w:val="22"/>
          <w:lang w:val="en-US"/>
        </w:rPr>
        <w:t xml:space="preserve">3 </w:t>
      </w:r>
      <w:r w:rsidR="0009657C">
        <w:rPr>
          <w:rFonts w:ascii="CorpoS" w:hAnsi="CorpoS"/>
          <w:sz w:val="22"/>
          <w:szCs w:val="22"/>
          <w:lang w:val="en-US"/>
        </w:rPr>
        <w:t xml:space="preserve">percentage points </w:t>
      </w:r>
      <w:r>
        <w:rPr>
          <w:rFonts w:ascii="CorpoS" w:hAnsi="CorpoS"/>
          <w:sz w:val="22"/>
          <w:szCs w:val="22"/>
          <w:lang w:val="en-US"/>
        </w:rPr>
        <w:t>to reach</w:t>
      </w:r>
      <w:r w:rsidR="0009657C">
        <w:rPr>
          <w:rFonts w:ascii="CorpoS" w:hAnsi="CorpoS"/>
          <w:sz w:val="22"/>
          <w:szCs w:val="22"/>
          <w:lang w:val="en-US"/>
        </w:rPr>
        <w:t xml:space="preserve"> 12.</w:t>
      </w:r>
      <w:r w:rsidR="0009657C" w:rsidRPr="00582EE2">
        <w:rPr>
          <w:rFonts w:ascii="CorpoS" w:hAnsi="CorpoS"/>
          <w:sz w:val="22"/>
          <w:szCs w:val="22"/>
          <w:lang w:val="en-US"/>
        </w:rPr>
        <w:t xml:space="preserve">6 </w:t>
      </w:r>
      <w:r w:rsidR="0009657C">
        <w:rPr>
          <w:rFonts w:ascii="CorpoS" w:hAnsi="CorpoS"/>
          <w:sz w:val="22"/>
          <w:szCs w:val="22"/>
          <w:lang w:val="en-US"/>
        </w:rPr>
        <w:t>percent</w:t>
      </w:r>
      <w:r w:rsidR="0009657C" w:rsidRPr="00582EE2">
        <w:rPr>
          <w:rFonts w:ascii="CorpoS" w:hAnsi="CorpoS"/>
          <w:sz w:val="22"/>
          <w:szCs w:val="22"/>
          <w:lang w:val="en-US"/>
        </w:rPr>
        <w:t xml:space="preserve">. In </w:t>
      </w:r>
      <w:r w:rsidR="0009657C">
        <w:rPr>
          <w:rFonts w:ascii="CorpoS" w:hAnsi="CorpoS"/>
          <w:sz w:val="22"/>
          <w:szCs w:val="22"/>
          <w:lang w:val="en-US"/>
        </w:rPr>
        <w:t xml:space="preserve">the </w:t>
      </w:r>
      <w:r w:rsidR="00955CF7">
        <w:rPr>
          <w:rFonts w:ascii="CorpoS" w:hAnsi="CorpoS"/>
          <w:sz w:val="22"/>
          <w:szCs w:val="22"/>
          <w:lang w:val="en-US"/>
        </w:rPr>
        <w:t>commercial maintenance</w:t>
      </w:r>
      <w:r w:rsidR="0009657C">
        <w:rPr>
          <w:rFonts w:ascii="CorpoS" w:hAnsi="CorpoS"/>
          <w:sz w:val="22"/>
          <w:szCs w:val="22"/>
          <w:lang w:val="en-US"/>
        </w:rPr>
        <w:t xml:space="preserve"> </w:t>
      </w:r>
      <w:r w:rsidR="00955CF7">
        <w:rPr>
          <w:rFonts w:ascii="CorpoS" w:hAnsi="CorpoS"/>
          <w:sz w:val="22"/>
          <w:szCs w:val="22"/>
          <w:lang w:val="en-US"/>
        </w:rPr>
        <w:t>segment</w:t>
      </w:r>
      <w:r w:rsidR="0009657C">
        <w:rPr>
          <w:rFonts w:ascii="CorpoS" w:hAnsi="CorpoS"/>
          <w:sz w:val="22"/>
          <w:szCs w:val="22"/>
          <w:lang w:val="en-US"/>
        </w:rPr>
        <w:t xml:space="preserve">, </w:t>
      </w:r>
      <w:r w:rsidR="00955CF7">
        <w:rPr>
          <w:rFonts w:ascii="CorpoS" w:hAnsi="CorpoS"/>
          <w:sz w:val="22"/>
          <w:szCs w:val="22"/>
          <w:lang w:val="en-US"/>
        </w:rPr>
        <w:t xml:space="preserve">adjusted </w:t>
      </w:r>
      <w:r w:rsidR="0009657C">
        <w:rPr>
          <w:rFonts w:ascii="CorpoS" w:hAnsi="CorpoS"/>
          <w:sz w:val="22"/>
          <w:szCs w:val="22"/>
          <w:lang w:val="en-US"/>
        </w:rPr>
        <w:t>EBIT improved by 14.8</w:t>
      </w:r>
      <w:r w:rsidR="0009657C" w:rsidRPr="00582EE2">
        <w:rPr>
          <w:rFonts w:ascii="CorpoS" w:hAnsi="CorpoS"/>
          <w:sz w:val="22"/>
          <w:szCs w:val="22"/>
          <w:lang w:val="en-US"/>
        </w:rPr>
        <w:t xml:space="preserve">% </w:t>
      </w:r>
      <w:r w:rsidR="0009657C">
        <w:rPr>
          <w:rFonts w:ascii="CorpoS" w:hAnsi="CorpoS"/>
          <w:sz w:val="22"/>
          <w:szCs w:val="22"/>
          <w:lang w:val="en-US"/>
        </w:rPr>
        <w:t>from</w:t>
      </w:r>
      <w:r w:rsidR="0009657C" w:rsidRPr="00582EE2">
        <w:rPr>
          <w:rFonts w:ascii="CorpoS" w:hAnsi="CorpoS"/>
          <w:sz w:val="22"/>
          <w:szCs w:val="22"/>
          <w:lang w:val="en-US"/>
        </w:rPr>
        <w:t xml:space="preserve"> €</w:t>
      </w:r>
      <w:r w:rsidR="0009657C">
        <w:rPr>
          <w:rFonts w:ascii="CorpoS" w:hAnsi="CorpoS"/>
          <w:sz w:val="22"/>
          <w:szCs w:val="22"/>
          <w:lang w:val="en-US"/>
        </w:rPr>
        <w:t>112.</w:t>
      </w:r>
      <w:r w:rsidR="0009657C" w:rsidRPr="00582EE2">
        <w:rPr>
          <w:rFonts w:ascii="CorpoS" w:hAnsi="CorpoS"/>
          <w:sz w:val="22"/>
          <w:szCs w:val="22"/>
          <w:lang w:val="en-US"/>
        </w:rPr>
        <w:t xml:space="preserve">4 </w:t>
      </w:r>
      <w:r w:rsidR="0009657C">
        <w:rPr>
          <w:rFonts w:ascii="CorpoS" w:hAnsi="CorpoS"/>
          <w:sz w:val="22"/>
          <w:szCs w:val="22"/>
          <w:lang w:val="en-US"/>
        </w:rPr>
        <w:t>million to</w:t>
      </w:r>
      <w:r w:rsidR="0009657C" w:rsidRPr="00582EE2">
        <w:rPr>
          <w:rFonts w:ascii="CorpoS" w:hAnsi="CorpoS"/>
          <w:sz w:val="22"/>
          <w:szCs w:val="22"/>
          <w:lang w:val="en-US"/>
        </w:rPr>
        <w:t xml:space="preserve"> €</w:t>
      </w:r>
      <w:r w:rsidR="0009657C">
        <w:rPr>
          <w:rFonts w:ascii="CorpoS" w:hAnsi="CorpoS"/>
          <w:sz w:val="22"/>
          <w:szCs w:val="22"/>
          <w:lang w:val="en-US"/>
        </w:rPr>
        <w:t>129.</w:t>
      </w:r>
      <w:r w:rsidR="0009657C" w:rsidRPr="00582EE2">
        <w:rPr>
          <w:rFonts w:ascii="CorpoS" w:hAnsi="CorpoS"/>
          <w:sz w:val="22"/>
          <w:szCs w:val="22"/>
          <w:lang w:val="en-US"/>
        </w:rPr>
        <w:t xml:space="preserve">0 </w:t>
      </w:r>
      <w:r w:rsidR="0009657C">
        <w:rPr>
          <w:rFonts w:ascii="CorpoS" w:hAnsi="CorpoS"/>
          <w:sz w:val="22"/>
          <w:szCs w:val="22"/>
          <w:lang w:val="en-US"/>
        </w:rPr>
        <w:t>million, resulting in an EBIT margin of 9.</w:t>
      </w:r>
      <w:r w:rsidR="0009657C" w:rsidRPr="00582EE2">
        <w:rPr>
          <w:rFonts w:ascii="CorpoS" w:hAnsi="CorpoS"/>
          <w:sz w:val="22"/>
          <w:szCs w:val="22"/>
          <w:lang w:val="en-US"/>
        </w:rPr>
        <w:t>4%</w:t>
      </w:r>
      <w:r w:rsidR="0009657C">
        <w:rPr>
          <w:rFonts w:ascii="CorpoS" w:hAnsi="CorpoS"/>
          <w:sz w:val="22"/>
          <w:szCs w:val="22"/>
          <w:lang w:val="en-US"/>
        </w:rPr>
        <w:t>, compared with 9.8% for the same period in 2015</w:t>
      </w:r>
      <w:r w:rsidR="0009657C" w:rsidRPr="00582EE2">
        <w:rPr>
          <w:rFonts w:ascii="CorpoS" w:hAnsi="CorpoS"/>
          <w:sz w:val="22"/>
          <w:szCs w:val="22"/>
          <w:lang w:val="en-US"/>
        </w:rPr>
        <w:t>.</w:t>
      </w:r>
    </w:p>
    <w:p w14:paraId="12ADD2F0" w14:textId="77777777" w:rsidR="00C51A14" w:rsidRPr="0009657C" w:rsidRDefault="00C51A14" w:rsidP="00CF61DC">
      <w:pPr>
        <w:tabs>
          <w:tab w:val="left" w:pos="7655"/>
          <w:tab w:val="left" w:pos="7938"/>
        </w:tabs>
        <w:suppressAutoHyphens/>
        <w:spacing w:line="300" w:lineRule="exact"/>
        <w:ind w:right="283"/>
        <w:jc w:val="both"/>
        <w:rPr>
          <w:rFonts w:ascii="CorpoS" w:hAnsi="CorpoS"/>
          <w:sz w:val="22"/>
          <w:szCs w:val="22"/>
          <w:lang w:val="en-US"/>
        </w:rPr>
      </w:pPr>
    </w:p>
    <w:p w14:paraId="3181F4D0" w14:textId="696514D9" w:rsidR="0009657C" w:rsidRDefault="0009657C" w:rsidP="00CF61DC">
      <w:pPr>
        <w:tabs>
          <w:tab w:val="left" w:pos="7655"/>
          <w:tab w:val="left" w:pos="7938"/>
        </w:tabs>
        <w:suppressAutoHyphens/>
        <w:spacing w:line="300" w:lineRule="exact"/>
        <w:ind w:right="283"/>
        <w:jc w:val="both"/>
        <w:rPr>
          <w:rFonts w:ascii="CorpoS" w:hAnsi="CorpoS"/>
          <w:sz w:val="22"/>
          <w:szCs w:val="22"/>
          <w:lang w:val="en-US"/>
        </w:rPr>
      </w:pPr>
      <w:r>
        <w:rPr>
          <w:rFonts w:ascii="CorpoS" w:hAnsi="CorpoS"/>
          <w:sz w:val="22"/>
          <w:szCs w:val="22"/>
          <w:lang w:val="en-US"/>
        </w:rPr>
        <w:t>Research and development expen</w:t>
      </w:r>
      <w:r w:rsidR="00303345">
        <w:rPr>
          <w:rFonts w:ascii="CorpoS" w:hAnsi="CorpoS"/>
          <w:sz w:val="22"/>
          <w:szCs w:val="22"/>
          <w:lang w:val="en-US"/>
        </w:rPr>
        <w:t>ses</w:t>
      </w:r>
      <w:r>
        <w:rPr>
          <w:rFonts w:ascii="CorpoS" w:hAnsi="CorpoS"/>
          <w:sz w:val="22"/>
          <w:szCs w:val="22"/>
          <w:lang w:val="en-US"/>
        </w:rPr>
        <w:t xml:space="preserve">, at </w:t>
      </w:r>
      <w:r w:rsidRPr="00F304B0">
        <w:rPr>
          <w:rFonts w:ascii="CorpoS" w:hAnsi="CorpoS"/>
          <w:sz w:val="22"/>
          <w:szCs w:val="22"/>
          <w:lang w:val="en-US"/>
        </w:rPr>
        <w:t>€</w:t>
      </w:r>
      <w:r>
        <w:rPr>
          <w:rFonts w:ascii="CorpoS" w:hAnsi="CorpoS"/>
          <w:sz w:val="22"/>
          <w:szCs w:val="22"/>
          <w:lang w:val="en-US"/>
        </w:rPr>
        <w:t>157.9</w:t>
      </w:r>
      <w:r w:rsidRPr="00F304B0">
        <w:rPr>
          <w:rFonts w:ascii="CorpoS" w:hAnsi="CorpoS"/>
          <w:sz w:val="22"/>
          <w:szCs w:val="22"/>
          <w:lang w:val="en-US"/>
        </w:rPr>
        <w:t xml:space="preserve"> </w:t>
      </w:r>
      <w:r>
        <w:rPr>
          <w:rFonts w:ascii="CorpoS" w:hAnsi="CorpoS"/>
          <w:sz w:val="22"/>
          <w:szCs w:val="22"/>
          <w:lang w:val="en-US"/>
        </w:rPr>
        <w:t>million, w</w:t>
      </w:r>
      <w:r w:rsidR="00303345">
        <w:rPr>
          <w:rFonts w:ascii="CorpoS" w:hAnsi="CorpoS"/>
          <w:sz w:val="22"/>
          <w:szCs w:val="22"/>
          <w:lang w:val="en-US"/>
        </w:rPr>
        <w:t>ere</w:t>
      </w:r>
      <w:bookmarkStart w:id="0" w:name="_GoBack"/>
      <w:bookmarkEnd w:id="0"/>
      <w:r>
        <w:rPr>
          <w:rFonts w:ascii="CorpoS" w:hAnsi="CorpoS"/>
          <w:sz w:val="22"/>
          <w:szCs w:val="22"/>
          <w:lang w:val="en-US"/>
        </w:rPr>
        <w:t xml:space="preserve"> </w:t>
      </w:r>
      <w:r w:rsidR="002A7D65">
        <w:rPr>
          <w:rFonts w:ascii="CorpoS" w:hAnsi="CorpoS"/>
          <w:sz w:val="22"/>
          <w:szCs w:val="22"/>
          <w:lang w:val="en-US"/>
        </w:rPr>
        <w:t>on the same level</w:t>
      </w:r>
      <w:r>
        <w:rPr>
          <w:rFonts w:ascii="CorpoS" w:hAnsi="CorpoS"/>
          <w:sz w:val="22"/>
          <w:szCs w:val="22"/>
          <w:lang w:val="en-US"/>
        </w:rPr>
        <w:t xml:space="preserve"> as in the comparable period of 2015 (1-9</w:t>
      </w:r>
      <w:r w:rsidRPr="00F304B0">
        <w:rPr>
          <w:rFonts w:ascii="CorpoS" w:hAnsi="CorpoS"/>
          <w:sz w:val="22"/>
          <w:szCs w:val="22"/>
          <w:lang w:val="en-US"/>
        </w:rPr>
        <w:t>/</w:t>
      </w:r>
      <w:r>
        <w:rPr>
          <w:rFonts w:ascii="CorpoS" w:hAnsi="CorpoS"/>
          <w:sz w:val="22"/>
          <w:szCs w:val="22"/>
          <w:lang w:val="en-US"/>
        </w:rPr>
        <w:t>20</w:t>
      </w:r>
      <w:r w:rsidRPr="00F304B0">
        <w:rPr>
          <w:rFonts w:ascii="CorpoS" w:hAnsi="CorpoS"/>
          <w:sz w:val="22"/>
          <w:szCs w:val="22"/>
          <w:lang w:val="en-US"/>
        </w:rPr>
        <w:t>15: €</w:t>
      </w:r>
      <w:r>
        <w:rPr>
          <w:rFonts w:ascii="CorpoS" w:hAnsi="CorpoS"/>
          <w:sz w:val="22"/>
          <w:szCs w:val="22"/>
          <w:lang w:val="en-US"/>
        </w:rPr>
        <w:t>155.8</w:t>
      </w:r>
      <w:r w:rsidRPr="00F304B0">
        <w:rPr>
          <w:rFonts w:ascii="CorpoS" w:hAnsi="CorpoS"/>
          <w:sz w:val="22"/>
          <w:szCs w:val="22"/>
          <w:lang w:val="en-US"/>
        </w:rPr>
        <w:t xml:space="preserve"> </w:t>
      </w:r>
      <w:r>
        <w:rPr>
          <w:rFonts w:ascii="CorpoS" w:hAnsi="CorpoS"/>
          <w:sz w:val="22"/>
          <w:szCs w:val="22"/>
          <w:lang w:val="en-US"/>
        </w:rPr>
        <w:t>million</w:t>
      </w:r>
      <w:r w:rsidRPr="00F304B0">
        <w:rPr>
          <w:rFonts w:ascii="CorpoS" w:hAnsi="CorpoS"/>
          <w:sz w:val="22"/>
          <w:szCs w:val="22"/>
          <w:lang w:val="en-US"/>
        </w:rPr>
        <w:t xml:space="preserve">). </w:t>
      </w:r>
      <w:r w:rsidR="004D172F">
        <w:rPr>
          <w:rFonts w:ascii="CorpoS" w:hAnsi="CorpoS"/>
          <w:sz w:val="22"/>
          <w:szCs w:val="22"/>
          <w:lang w:val="en-US"/>
        </w:rPr>
        <w:t xml:space="preserve">In addition to </w:t>
      </w:r>
      <w:r>
        <w:rPr>
          <w:rFonts w:ascii="CorpoS" w:hAnsi="CorpoS"/>
          <w:sz w:val="22"/>
          <w:szCs w:val="22"/>
          <w:lang w:val="en-US"/>
        </w:rPr>
        <w:t xml:space="preserve">existing and future geared-turbofan programs, </w:t>
      </w:r>
      <w:r w:rsidR="004D172F">
        <w:rPr>
          <w:rFonts w:ascii="CorpoS" w:hAnsi="CorpoS"/>
          <w:sz w:val="22"/>
          <w:szCs w:val="22"/>
          <w:lang w:val="en-US"/>
        </w:rPr>
        <w:t xml:space="preserve">the focal areas of MTU’s R&amp;D activities were </w:t>
      </w:r>
      <w:r>
        <w:rPr>
          <w:rFonts w:ascii="CorpoS" w:hAnsi="CorpoS"/>
          <w:sz w:val="22"/>
          <w:szCs w:val="22"/>
          <w:lang w:val="en-US"/>
        </w:rPr>
        <w:t xml:space="preserve">the GE9X engine for the </w:t>
      </w:r>
      <w:r w:rsidRPr="00F304B0">
        <w:rPr>
          <w:rFonts w:ascii="CorpoS" w:hAnsi="CorpoS"/>
          <w:sz w:val="22"/>
          <w:szCs w:val="22"/>
          <w:lang w:val="en-US"/>
        </w:rPr>
        <w:t xml:space="preserve">Boeing 777X </w:t>
      </w:r>
      <w:r>
        <w:rPr>
          <w:rFonts w:ascii="CorpoS" w:hAnsi="CorpoS"/>
          <w:sz w:val="22"/>
          <w:szCs w:val="22"/>
          <w:lang w:val="en-US"/>
        </w:rPr>
        <w:t>long-haul airliner, various technology studies and R&amp;D projects relating to next-generation engine design.</w:t>
      </w:r>
    </w:p>
    <w:p w14:paraId="6199AF2B" w14:textId="77777777" w:rsidR="00C51A14" w:rsidRPr="0009657C" w:rsidRDefault="00C51A14" w:rsidP="00CF61DC">
      <w:pPr>
        <w:tabs>
          <w:tab w:val="left" w:pos="7655"/>
          <w:tab w:val="left" w:pos="9072"/>
        </w:tabs>
        <w:suppressAutoHyphens/>
        <w:spacing w:line="300" w:lineRule="exact"/>
        <w:ind w:right="283"/>
        <w:jc w:val="both"/>
        <w:rPr>
          <w:rFonts w:ascii="CorpoS" w:hAnsi="CorpoS"/>
          <w:sz w:val="22"/>
          <w:szCs w:val="22"/>
          <w:lang w:val="en-US"/>
        </w:rPr>
      </w:pPr>
    </w:p>
    <w:p w14:paraId="5FE1FC21" w14:textId="11BF7EE7" w:rsidR="0009657C" w:rsidRDefault="0009657C" w:rsidP="00CF61DC">
      <w:pPr>
        <w:tabs>
          <w:tab w:val="left" w:pos="7655"/>
          <w:tab w:val="left" w:pos="9072"/>
        </w:tabs>
        <w:suppressAutoHyphens/>
        <w:spacing w:line="300" w:lineRule="exact"/>
        <w:ind w:right="283"/>
        <w:jc w:val="both"/>
        <w:rPr>
          <w:rFonts w:ascii="CorpoS" w:hAnsi="CorpoS"/>
          <w:sz w:val="22"/>
          <w:szCs w:val="22"/>
          <w:lang w:val="en-US"/>
        </w:rPr>
      </w:pPr>
      <w:r w:rsidRPr="00F304B0">
        <w:rPr>
          <w:rFonts w:ascii="CorpoS" w:hAnsi="CorpoS"/>
          <w:sz w:val="22"/>
          <w:szCs w:val="22"/>
          <w:lang w:val="en-US"/>
        </w:rPr>
        <w:t>MTU</w:t>
      </w:r>
      <w:r>
        <w:rPr>
          <w:rFonts w:ascii="CorpoS" w:hAnsi="CorpoS"/>
          <w:sz w:val="22"/>
          <w:szCs w:val="22"/>
          <w:lang w:val="en-US"/>
        </w:rPr>
        <w:t>’s free c</w:t>
      </w:r>
      <w:r w:rsidRPr="00F304B0">
        <w:rPr>
          <w:rFonts w:ascii="CorpoS" w:hAnsi="CorpoS"/>
          <w:sz w:val="22"/>
          <w:szCs w:val="22"/>
          <w:lang w:val="en-US"/>
        </w:rPr>
        <w:t>ash</w:t>
      </w:r>
      <w:r>
        <w:rPr>
          <w:rFonts w:ascii="CorpoS" w:hAnsi="CorpoS"/>
          <w:sz w:val="22"/>
          <w:szCs w:val="22"/>
          <w:lang w:val="en-US"/>
        </w:rPr>
        <w:t xml:space="preserve"> </w:t>
      </w:r>
      <w:r w:rsidRPr="00F304B0">
        <w:rPr>
          <w:rFonts w:ascii="CorpoS" w:hAnsi="CorpoS"/>
          <w:sz w:val="22"/>
          <w:szCs w:val="22"/>
          <w:lang w:val="en-US"/>
        </w:rPr>
        <w:t xml:space="preserve">flow </w:t>
      </w:r>
      <w:r>
        <w:rPr>
          <w:rFonts w:ascii="CorpoS" w:hAnsi="CorpoS"/>
          <w:sz w:val="22"/>
          <w:szCs w:val="22"/>
          <w:lang w:val="en-US"/>
        </w:rPr>
        <w:t xml:space="preserve">at the end of September 2016 amounted to </w:t>
      </w:r>
      <w:r w:rsidRPr="00F304B0">
        <w:rPr>
          <w:rFonts w:ascii="CorpoS" w:hAnsi="CorpoS"/>
          <w:sz w:val="22"/>
          <w:szCs w:val="22"/>
          <w:lang w:val="en-US"/>
        </w:rPr>
        <w:t>€</w:t>
      </w:r>
      <w:r>
        <w:rPr>
          <w:rFonts w:ascii="CorpoS" w:hAnsi="CorpoS"/>
          <w:sz w:val="22"/>
          <w:szCs w:val="22"/>
          <w:lang w:val="en-US"/>
        </w:rPr>
        <w:t>75.0</w:t>
      </w:r>
      <w:r w:rsidRPr="00F304B0">
        <w:rPr>
          <w:rFonts w:ascii="CorpoS" w:hAnsi="CorpoS"/>
          <w:sz w:val="22"/>
          <w:szCs w:val="22"/>
          <w:lang w:val="en-US"/>
        </w:rPr>
        <w:t xml:space="preserve"> </w:t>
      </w:r>
      <w:r>
        <w:rPr>
          <w:rFonts w:ascii="CorpoS" w:hAnsi="CorpoS"/>
          <w:sz w:val="22"/>
          <w:szCs w:val="22"/>
          <w:lang w:val="en-US"/>
        </w:rPr>
        <w:t>million</w:t>
      </w:r>
      <w:r w:rsidRPr="00F304B0">
        <w:rPr>
          <w:rFonts w:ascii="CorpoS" w:hAnsi="CorpoS"/>
          <w:sz w:val="22"/>
          <w:szCs w:val="22"/>
          <w:lang w:val="en-US"/>
        </w:rPr>
        <w:t xml:space="preserve"> (1-</w:t>
      </w:r>
      <w:r>
        <w:rPr>
          <w:rFonts w:ascii="CorpoS" w:hAnsi="CorpoS"/>
          <w:sz w:val="22"/>
          <w:szCs w:val="22"/>
          <w:lang w:val="en-US"/>
        </w:rPr>
        <w:t>9</w:t>
      </w:r>
      <w:r w:rsidRPr="00F304B0">
        <w:rPr>
          <w:rFonts w:ascii="CorpoS" w:hAnsi="CorpoS"/>
          <w:sz w:val="22"/>
          <w:szCs w:val="22"/>
          <w:lang w:val="en-US"/>
        </w:rPr>
        <w:t>/</w:t>
      </w:r>
      <w:r>
        <w:rPr>
          <w:rFonts w:ascii="CorpoS" w:hAnsi="CorpoS"/>
          <w:sz w:val="22"/>
          <w:szCs w:val="22"/>
          <w:lang w:val="en-US"/>
        </w:rPr>
        <w:t>20</w:t>
      </w:r>
      <w:r w:rsidRPr="00F304B0">
        <w:rPr>
          <w:rFonts w:ascii="CorpoS" w:hAnsi="CorpoS"/>
          <w:sz w:val="22"/>
          <w:szCs w:val="22"/>
          <w:lang w:val="en-US"/>
        </w:rPr>
        <w:t xml:space="preserve">15: </w:t>
      </w:r>
      <w:r w:rsidR="00125160">
        <w:rPr>
          <w:rFonts w:ascii="CorpoS" w:hAnsi="CorpoS"/>
          <w:sz w:val="22"/>
          <w:szCs w:val="22"/>
          <w:lang w:val="en-US"/>
        </w:rPr>
        <w:br w:type="textWrapping" w:clear="all"/>
      </w:r>
      <w:r w:rsidRPr="00F304B0">
        <w:rPr>
          <w:rFonts w:ascii="CorpoS" w:hAnsi="CorpoS"/>
          <w:sz w:val="22"/>
          <w:szCs w:val="22"/>
          <w:lang w:val="en-US"/>
        </w:rPr>
        <w:t>€</w:t>
      </w:r>
      <w:r>
        <w:rPr>
          <w:rFonts w:ascii="CorpoS" w:hAnsi="CorpoS"/>
          <w:sz w:val="22"/>
          <w:szCs w:val="22"/>
          <w:lang w:val="en-US"/>
        </w:rPr>
        <w:t>119.4</w:t>
      </w:r>
      <w:r w:rsidRPr="00F304B0">
        <w:rPr>
          <w:rFonts w:ascii="CorpoS" w:hAnsi="CorpoS"/>
          <w:sz w:val="22"/>
          <w:szCs w:val="22"/>
          <w:lang w:val="en-US"/>
        </w:rPr>
        <w:t xml:space="preserve"> </w:t>
      </w:r>
      <w:r>
        <w:rPr>
          <w:rFonts w:ascii="CorpoS" w:hAnsi="CorpoS"/>
          <w:sz w:val="22"/>
          <w:szCs w:val="22"/>
          <w:lang w:val="en-US"/>
        </w:rPr>
        <w:t>million</w:t>
      </w:r>
      <w:r w:rsidRPr="00F304B0">
        <w:rPr>
          <w:rFonts w:ascii="CorpoS" w:hAnsi="CorpoS"/>
          <w:sz w:val="22"/>
          <w:szCs w:val="22"/>
          <w:lang w:val="en-US"/>
        </w:rPr>
        <w:t xml:space="preserve">). </w:t>
      </w:r>
      <w:r>
        <w:rPr>
          <w:rFonts w:ascii="CorpoS" w:hAnsi="CorpoS"/>
          <w:sz w:val="22"/>
          <w:szCs w:val="22"/>
          <w:lang w:val="en-US"/>
        </w:rPr>
        <w:t xml:space="preserve">“We expect to see a similar </w:t>
      </w:r>
      <w:r w:rsidR="007B68CD">
        <w:rPr>
          <w:rFonts w:ascii="CorpoS" w:hAnsi="CorpoS"/>
          <w:sz w:val="22"/>
          <w:szCs w:val="22"/>
          <w:lang w:val="en-US"/>
        </w:rPr>
        <w:t>volume</w:t>
      </w:r>
      <w:r w:rsidR="004D172F">
        <w:rPr>
          <w:rFonts w:ascii="CorpoS" w:hAnsi="CorpoS"/>
          <w:sz w:val="22"/>
          <w:szCs w:val="22"/>
          <w:lang w:val="en-US"/>
        </w:rPr>
        <w:t xml:space="preserve"> at the end of the </w:t>
      </w:r>
      <w:r>
        <w:rPr>
          <w:rFonts w:ascii="CorpoS" w:hAnsi="CorpoS"/>
          <w:sz w:val="22"/>
          <w:szCs w:val="22"/>
          <w:lang w:val="en-US"/>
        </w:rPr>
        <w:t xml:space="preserve">year and have maintained our forecast of around </w:t>
      </w:r>
      <w:r w:rsidRPr="00F304B0">
        <w:rPr>
          <w:rFonts w:ascii="CorpoS" w:hAnsi="CorpoS"/>
          <w:sz w:val="22"/>
          <w:szCs w:val="22"/>
          <w:lang w:val="en-US"/>
        </w:rPr>
        <w:t xml:space="preserve">€70 </w:t>
      </w:r>
      <w:r>
        <w:rPr>
          <w:rFonts w:ascii="CorpoS" w:hAnsi="CorpoS"/>
          <w:sz w:val="22"/>
          <w:szCs w:val="22"/>
          <w:lang w:val="en-US"/>
        </w:rPr>
        <w:t>million,” sa</w:t>
      </w:r>
      <w:r w:rsidR="00955CF7">
        <w:rPr>
          <w:rFonts w:ascii="CorpoS" w:hAnsi="CorpoS"/>
          <w:sz w:val="22"/>
          <w:szCs w:val="22"/>
          <w:lang w:val="en-US"/>
        </w:rPr>
        <w:t>id</w:t>
      </w:r>
      <w:r>
        <w:rPr>
          <w:rFonts w:ascii="CorpoS" w:hAnsi="CorpoS"/>
          <w:sz w:val="22"/>
          <w:szCs w:val="22"/>
          <w:lang w:val="en-US"/>
        </w:rPr>
        <w:t xml:space="preserve"> </w:t>
      </w:r>
      <w:r w:rsidRPr="00F304B0">
        <w:rPr>
          <w:rFonts w:ascii="CorpoS" w:hAnsi="CorpoS"/>
          <w:sz w:val="22"/>
          <w:szCs w:val="22"/>
          <w:lang w:val="en-US"/>
        </w:rPr>
        <w:t>Winkler</w:t>
      </w:r>
      <w:r>
        <w:rPr>
          <w:rFonts w:ascii="CorpoS" w:hAnsi="CorpoS"/>
          <w:sz w:val="22"/>
          <w:szCs w:val="22"/>
          <w:lang w:val="en-US"/>
        </w:rPr>
        <w:t>.</w:t>
      </w:r>
    </w:p>
    <w:p w14:paraId="7B927353" w14:textId="77777777" w:rsidR="00C51A14" w:rsidRPr="0009657C" w:rsidRDefault="00C51A14" w:rsidP="00CF61DC">
      <w:pPr>
        <w:tabs>
          <w:tab w:val="left" w:pos="7655"/>
          <w:tab w:val="left" w:pos="9072"/>
        </w:tabs>
        <w:suppressAutoHyphens/>
        <w:spacing w:line="300" w:lineRule="exact"/>
        <w:ind w:right="283"/>
        <w:jc w:val="both"/>
        <w:rPr>
          <w:rFonts w:ascii="CorpoS" w:hAnsi="CorpoS"/>
          <w:sz w:val="22"/>
          <w:szCs w:val="22"/>
          <w:lang w:val="en-US"/>
        </w:rPr>
      </w:pPr>
    </w:p>
    <w:p w14:paraId="3C5F223A" w14:textId="7A740D20" w:rsidR="0009657C" w:rsidRPr="00582EE2" w:rsidRDefault="0009657C" w:rsidP="00CF61DC">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 xml:space="preserve">MTU has boosted its capital expenditure on property, plant and equipment by </w:t>
      </w:r>
      <w:r w:rsidRPr="00582EE2">
        <w:rPr>
          <w:rFonts w:ascii="CorpoS" w:hAnsi="CorpoS"/>
          <w:sz w:val="22"/>
          <w:szCs w:val="22"/>
          <w:lang w:val="en-US"/>
        </w:rPr>
        <w:t xml:space="preserve">40% </w:t>
      </w:r>
      <w:r>
        <w:rPr>
          <w:rFonts w:ascii="CorpoS" w:hAnsi="CorpoS"/>
          <w:sz w:val="22"/>
          <w:szCs w:val="22"/>
          <w:lang w:val="en-US"/>
        </w:rPr>
        <w:t>to</w:t>
      </w:r>
      <w:r w:rsidRPr="00582EE2">
        <w:rPr>
          <w:rFonts w:ascii="CorpoS" w:hAnsi="CorpoS"/>
          <w:sz w:val="22"/>
          <w:szCs w:val="22"/>
          <w:lang w:val="en-US"/>
        </w:rPr>
        <w:t xml:space="preserve"> </w:t>
      </w:r>
      <w:r>
        <w:rPr>
          <w:rFonts w:ascii="CorpoS" w:hAnsi="CorpoS"/>
          <w:sz w:val="22"/>
          <w:szCs w:val="22"/>
          <w:lang w:val="en-US"/>
        </w:rPr>
        <w:t>€91.5</w:t>
      </w:r>
      <w:r w:rsidRPr="00582EE2">
        <w:rPr>
          <w:rFonts w:ascii="CorpoS" w:hAnsi="CorpoS"/>
          <w:sz w:val="22"/>
          <w:szCs w:val="22"/>
          <w:lang w:val="en-US"/>
        </w:rPr>
        <w:t xml:space="preserve"> </w:t>
      </w:r>
      <w:r>
        <w:rPr>
          <w:rFonts w:ascii="CorpoS" w:hAnsi="CorpoS"/>
          <w:sz w:val="22"/>
          <w:szCs w:val="22"/>
          <w:lang w:val="en-US"/>
        </w:rPr>
        <w:t>million</w:t>
      </w:r>
      <w:r w:rsidRPr="00582EE2">
        <w:rPr>
          <w:rFonts w:ascii="CorpoS" w:hAnsi="CorpoS"/>
          <w:sz w:val="22"/>
          <w:szCs w:val="22"/>
          <w:lang w:val="en-US"/>
        </w:rPr>
        <w:t xml:space="preserve"> </w:t>
      </w:r>
      <w:r w:rsidR="00125160">
        <w:rPr>
          <w:rFonts w:ascii="CorpoS" w:hAnsi="CorpoS"/>
          <w:sz w:val="22"/>
          <w:szCs w:val="22"/>
          <w:lang w:val="en-US"/>
        </w:rPr>
        <w:br w:type="textWrapping" w:clear="all"/>
      </w:r>
      <w:r w:rsidRPr="00582EE2">
        <w:rPr>
          <w:rFonts w:ascii="CorpoS" w:hAnsi="CorpoS"/>
          <w:sz w:val="22"/>
          <w:szCs w:val="22"/>
          <w:lang w:val="en-US"/>
        </w:rPr>
        <w:t xml:space="preserve">(1-9/2015: </w:t>
      </w:r>
      <w:r>
        <w:rPr>
          <w:rFonts w:ascii="CorpoS" w:hAnsi="CorpoS"/>
          <w:sz w:val="22"/>
          <w:szCs w:val="22"/>
          <w:lang w:val="en-US"/>
        </w:rPr>
        <w:t>€65.2</w:t>
      </w:r>
      <w:r w:rsidRPr="00582EE2">
        <w:rPr>
          <w:rFonts w:ascii="CorpoS" w:hAnsi="CorpoS"/>
          <w:sz w:val="22"/>
          <w:szCs w:val="22"/>
          <w:lang w:val="en-US"/>
        </w:rPr>
        <w:t xml:space="preserve"> </w:t>
      </w:r>
      <w:r>
        <w:rPr>
          <w:rFonts w:ascii="CorpoS" w:hAnsi="CorpoS"/>
          <w:sz w:val="22"/>
          <w:szCs w:val="22"/>
          <w:lang w:val="en-US"/>
        </w:rPr>
        <w:t>million</w:t>
      </w:r>
      <w:r w:rsidRPr="00582EE2">
        <w:rPr>
          <w:rFonts w:ascii="CorpoS" w:hAnsi="CorpoS"/>
          <w:sz w:val="22"/>
          <w:szCs w:val="22"/>
          <w:lang w:val="en-US"/>
        </w:rPr>
        <w:t xml:space="preserve">). </w:t>
      </w:r>
      <w:r>
        <w:rPr>
          <w:rFonts w:ascii="CorpoS" w:hAnsi="CorpoS"/>
          <w:sz w:val="22"/>
          <w:szCs w:val="22"/>
          <w:lang w:val="en-US"/>
        </w:rPr>
        <w:t>“One of the more important purposes of this capital expenditure was the completion of our final assembly line for the PW1100G-JM,” add</w:t>
      </w:r>
      <w:r w:rsidR="00955CF7">
        <w:rPr>
          <w:rFonts w:ascii="CorpoS" w:hAnsi="CorpoS"/>
          <w:sz w:val="22"/>
          <w:szCs w:val="22"/>
          <w:lang w:val="en-US"/>
        </w:rPr>
        <w:t>ed</w:t>
      </w:r>
      <w:r>
        <w:rPr>
          <w:rFonts w:ascii="CorpoS" w:hAnsi="CorpoS"/>
          <w:sz w:val="22"/>
          <w:szCs w:val="22"/>
          <w:lang w:val="en-US"/>
        </w:rPr>
        <w:t xml:space="preserve"> Chief Operating Officer</w:t>
      </w:r>
      <w:r w:rsidRPr="00582EE2">
        <w:rPr>
          <w:rFonts w:ascii="CorpoS" w:hAnsi="CorpoS"/>
          <w:sz w:val="22"/>
          <w:szCs w:val="22"/>
          <w:lang w:val="en-US"/>
        </w:rPr>
        <w:t xml:space="preserve"> Dr. Rainer Martens. </w:t>
      </w:r>
      <w:r>
        <w:rPr>
          <w:rFonts w:ascii="CorpoS" w:hAnsi="CorpoS"/>
          <w:sz w:val="22"/>
          <w:szCs w:val="22"/>
          <w:lang w:val="en-US"/>
        </w:rPr>
        <w:t>“The new assembly line was inaugurated last week and we have already delivered the first MTU-assembled engine to Airbus.”</w:t>
      </w:r>
    </w:p>
    <w:p w14:paraId="28B0D447" w14:textId="77777777" w:rsidR="00C51A14" w:rsidRPr="0009657C" w:rsidRDefault="00C51A14" w:rsidP="00CF61DC">
      <w:pPr>
        <w:tabs>
          <w:tab w:val="left" w:pos="7655"/>
          <w:tab w:val="left" w:pos="9072"/>
        </w:tabs>
        <w:suppressAutoHyphens/>
        <w:spacing w:line="300" w:lineRule="exact"/>
        <w:ind w:right="283"/>
        <w:jc w:val="both"/>
        <w:rPr>
          <w:rFonts w:ascii="CorpoS" w:hAnsi="CorpoS"/>
          <w:sz w:val="22"/>
          <w:szCs w:val="22"/>
          <w:lang w:val="en-US"/>
        </w:rPr>
      </w:pPr>
    </w:p>
    <w:p w14:paraId="22CC6D07" w14:textId="77777777" w:rsidR="0009657C" w:rsidRPr="00582EE2" w:rsidRDefault="0009657C" w:rsidP="00CF61DC">
      <w:pPr>
        <w:tabs>
          <w:tab w:val="left" w:pos="7655"/>
          <w:tab w:val="left" w:pos="9072"/>
        </w:tabs>
        <w:suppressAutoHyphens/>
        <w:spacing w:line="300" w:lineRule="exact"/>
        <w:ind w:right="283"/>
        <w:jc w:val="both"/>
        <w:rPr>
          <w:rFonts w:ascii="CorpoS" w:eastAsia="SimSun" w:hAnsi="CorpoS"/>
          <w:sz w:val="22"/>
          <w:szCs w:val="22"/>
          <w:lang w:val="en-US" w:eastAsia="zh-CN"/>
        </w:rPr>
      </w:pPr>
      <w:r w:rsidRPr="00582EE2">
        <w:rPr>
          <w:rFonts w:ascii="CorpoS" w:eastAsia="SimSun" w:hAnsi="CorpoS"/>
          <w:sz w:val="22"/>
          <w:szCs w:val="22"/>
          <w:lang w:val="en-US" w:eastAsia="zh-CN"/>
        </w:rPr>
        <w:t xml:space="preserve">MTU </w:t>
      </w:r>
      <w:r>
        <w:rPr>
          <w:rFonts w:ascii="CorpoS" w:eastAsia="SimSun" w:hAnsi="CorpoS"/>
          <w:sz w:val="22"/>
          <w:szCs w:val="22"/>
          <w:lang w:val="en-US" w:eastAsia="zh-CN"/>
        </w:rPr>
        <w:t xml:space="preserve">had </w:t>
      </w:r>
      <w:r w:rsidRPr="00582EE2">
        <w:rPr>
          <w:rFonts w:ascii="CorpoS" w:eastAsia="SimSun" w:hAnsi="CorpoS"/>
          <w:sz w:val="22"/>
          <w:szCs w:val="22"/>
          <w:lang w:val="en-US" w:eastAsia="zh-CN"/>
        </w:rPr>
        <w:t>8</w:t>
      </w:r>
      <w:r>
        <w:rPr>
          <w:rFonts w:ascii="CorpoS" w:eastAsia="SimSun" w:hAnsi="CorpoS"/>
          <w:sz w:val="22"/>
          <w:szCs w:val="22"/>
          <w:lang w:val="en-US" w:eastAsia="zh-CN"/>
        </w:rPr>
        <w:t>,</w:t>
      </w:r>
      <w:r w:rsidRPr="00582EE2">
        <w:rPr>
          <w:rFonts w:ascii="CorpoS" w:eastAsia="SimSun" w:hAnsi="CorpoS"/>
          <w:sz w:val="22"/>
          <w:szCs w:val="22"/>
          <w:lang w:val="en-US" w:eastAsia="zh-CN"/>
        </w:rPr>
        <w:t xml:space="preserve">380 </w:t>
      </w:r>
      <w:r>
        <w:rPr>
          <w:rFonts w:ascii="CorpoS" w:eastAsia="SimSun" w:hAnsi="CorpoS"/>
          <w:sz w:val="22"/>
          <w:szCs w:val="22"/>
          <w:lang w:val="en-US" w:eastAsia="zh-CN"/>
        </w:rPr>
        <w:t xml:space="preserve">employees on its payroll at September 30, 2016, or roughly the same number as at the end of </w:t>
      </w:r>
      <w:r w:rsidRPr="00582EE2">
        <w:rPr>
          <w:rFonts w:ascii="CorpoS" w:eastAsia="SimSun" w:hAnsi="CorpoS"/>
          <w:sz w:val="22"/>
          <w:szCs w:val="22"/>
          <w:lang w:val="en-US" w:eastAsia="zh-CN"/>
        </w:rPr>
        <w:t>2015</w:t>
      </w:r>
      <w:r>
        <w:rPr>
          <w:rFonts w:ascii="CorpoS" w:eastAsia="SimSun" w:hAnsi="CorpoS"/>
          <w:sz w:val="22"/>
          <w:szCs w:val="22"/>
          <w:lang w:val="en-US" w:eastAsia="zh-CN"/>
        </w:rPr>
        <w:t xml:space="preserve"> (Dec</w:t>
      </w:r>
      <w:r w:rsidRPr="00582EE2">
        <w:rPr>
          <w:rFonts w:ascii="CorpoS" w:eastAsia="SimSun" w:hAnsi="CorpoS"/>
          <w:sz w:val="22"/>
          <w:szCs w:val="22"/>
          <w:lang w:val="en-US" w:eastAsia="zh-CN"/>
        </w:rPr>
        <w:t xml:space="preserve">ember </w:t>
      </w:r>
      <w:r>
        <w:rPr>
          <w:rFonts w:ascii="CorpoS" w:eastAsia="SimSun" w:hAnsi="CorpoS"/>
          <w:sz w:val="22"/>
          <w:szCs w:val="22"/>
          <w:lang w:val="en-US" w:eastAsia="zh-CN"/>
        </w:rPr>
        <w:t xml:space="preserve">31, </w:t>
      </w:r>
      <w:r w:rsidRPr="00582EE2">
        <w:rPr>
          <w:rFonts w:ascii="CorpoS" w:eastAsia="SimSun" w:hAnsi="CorpoS"/>
          <w:sz w:val="22"/>
          <w:szCs w:val="22"/>
          <w:lang w:val="en-US" w:eastAsia="zh-CN"/>
        </w:rPr>
        <w:t>2015</w:t>
      </w:r>
      <w:r>
        <w:rPr>
          <w:rFonts w:ascii="CorpoS" w:eastAsia="SimSun" w:hAnsi="CorpoS"/>
          <w:sz w:val="22"/>
          <w:szCs w:val="22"/>
          <w:lang w:val="en-US" w:eastAsia="zh-CN"/>
        </w:rPr>
        <w:t>: 8,</w:t>
      </w:r>
      <w:r w:rsidRPr="00582EE2">
        <w:rPr>
          <w:rFonts w:ascii="CorpoS" w:eastAsia="SimSun" w:hAnsi="CorpoS"/>
          <w:sz w:val="22"/>
          <w:szCs w:val="22"/>
          <w:lang w:val="en-US" w:eastAsia="zh-CN"/>
        </w:rPr>
        <w:t xml:space="preserve">334 </w:t>
      </w:r>
      <w:r>
        <w:rPr>
          <w:rFonts w:ascii="CorpoS" w:eastAsia="SimSun" w:hAnsi="CorpoS"/>
          <w:sz w:val="22"/>
          <w:szCs w:val="22"/>
          <w:lang w:val="en-US" w:eastAsia="zh-CN"/>
        </w:rPr>
        <w:t>employees</w:t>
      </w:r>
      <w:r w:rsidRPr="00582EE2">
        <w:rPr>
          <w:rFonts w:ascii="CorpoS" w:eastAsia="SimSun" w:hAnsi="CorpoS"/>
          <w:sz w:val="22"/>
          <w:szCs w:val="22"/>
          <w:lang w:val="en-US" w:eastAsia="zh-CN"/>
        </w:rPr>
        <w:t>).</w:t>
      </w:r>
    </w:p>
    <w:p w14:paraId="177F7917" w14:textId="77777777" w:rsidR="00150467" w:rsidRPr="0009657C" w:rsidRDefault="00150467" w:rsidP="00CF61DC">
      <w:pPr>
        <w:suppressAutoHyphens/>
        <w:rPr>
          <w:rFonts w:ascii="CorpoS" w:hAnsi="CorpoS"/>
          <w:b/>
          <w:sz w:val="22"/>
          <w:szCs w:val="22"/>
          <w:lang w:val="en-US"/>
        </w:rPr>
      </w:pPr>
      <w:r w:rsidRPr="0009657C">
        <w:rPr>
          <w:rFonts w:ascii="CorpoS" w:hAnsi="CorpoS"/>
          <w:b/>
          <w:sz w:val="22"/>
          <w:szCs w:val="22"/>
          <w:lang w:val="en-US"/>
        </w:rPr>
        <w:br w:type="page"/>
      </w:r>
    </w:p>
    <w:p w14:paraId="10552F24" w14:textId="2BBFD4EE" w:rsidR="00766743" w:rsidRPr="0009657C" w:rsidRDefault="00D822B2" w:rsidP="00CF61DC">
      <w:pPr>
        <w:tabs>
          <w:tab w:val="left" w:pos="7655"/>
          <w:tab w:val="left" w:pos="9072"/>
        </w:tabs>
        <w:suppressAutoHyphens/>
        <w:spacing w:line="300" w:lineRule="exact"/>
        <w:ind w:right="283"/>
        <w:jc w:val="both"/>
        <w:rPr>
          <w:rFonts w:ascii="CorpoS" w:hAnsi="CorpoS"/>
          <w:b/>
          <w:sz w:val="22"/>
          <w:szCs w:val="22"/>
          <w:lang w:val="en-US"/>
        </w:rPr>
      </w:pPr>
      <w:r w:rsidRPr="0009657C">
        <w:rPr>
          <w:rFonts w:ascii="CorpoS" w:hAnsi="CorpoS"/>
          <w:b/>
          <w:sz w:val="22"/>
          <w:szCs w:val="22"/>
          <w:lang w:val="en-US"/>
        </w:rPr>
        <w:lastRenderedPageBreak/>
        <w:t xml:space="preserve">MTU Aero Engines – </w:t>
      </w:r>
      <w:r w:rsidR="008B4737">
        <w:rPr>
          <w:rFonts w:ascii="CorpoS" w:hAnsi="CorpoS"/>
          <w:b/>
          <w:sz w:val="22"/>
          <w:szCs w:val="22"/>
          <w:lang w:val="en-US"/>
        </w:rPr>
        <w:t>Key financial data for January through September</w:t>
      </w:r>
      <w:r w:rsidR="00766743" w:rsidRPr="0009657C">
        <w:rPr>
          <w:rFonts w:ascii="CorpoS" w:hAnsi="CorpoS"/>
          <w:b/>
          <w:sz w:val="22"/>
          <w:szCs w:val="22"/>
          <w:lang w:val="en-US"/>
        </w:rPr>
        <w:t xml:space="preserve"> 201</w:t>
      </w:r>
      <w:r w:rsidR="00EA6CE3" w:rsidRPr="0009657C">
        <w:rPr>
          <w:rFonts w:ascii="CorpoS" w:hAnsi="CorpoS"/>
          <w:b/>
          <w:sz w:val="22"/>
          <w:szCs w:val="22"/>
          <w:lang w:val="en-US"/>
        </w:rPr>
        <w:t>6</w:t>
      </w:r>
    </w:p>
    <w:p w14:paraId="2EFE2C01" w14:textId="51C2AF1B" w:rsidR="00766743" w:rsidRPr="0009657C" w:rsidRDefault="00766743" w:rsidP="00CF61DC">
      <w:pPr>
        <w:tabs>
          <w:tab w:val="left" w:pos="7938"/>
        </w:tabs>
        <w:suppressAutoHyphens/>
        <w:autoSpaceDE w:val="0"/>
        <w:autoSpaceDN w:val="0"/>
        <w:adjustRightInd w:val="0"/>
        <w:ind w:right="283"/>
        <w:rPr>
          <w:rFonts w:ascii="CorpoS" w:hAnsi="CorpoS"/>
          <w:i/>
          <w:sz w:val="18"/>
          <w:szCs w:val="18"/>
          <w:lang w:val="en-US"/>
        </w:rPr>
      </w:pPr>
      <w:r w:rsidRPr="0009657C">
        <w:rPr>
          <w:rFonts w:ascii="CorpoS" w:hAnsi="CorpoS"/>
          <w:i/>
          <w:sz w:val="18"/>
          <w:szCs w:val="18"/>
          <w:lang w:val="en-US"/>
        </w:rPr>
        <w:t>(</w:t>
      </w:r>
      <w:r w:rsidR="004D172F">
        <w:rPr>
          <w:rFonts w:ascii="CorpoS" w:hAnsi="CorpoS"/>
          <w:i/>
          <w:sz w:val="18"/>
          <w:szCs w:val="18"/>
          <w:lang w:val="en-US"/>
        </w:rPr>
        <w:t xml:space="preserve">Figures quoted in </w:t>
      </w:r>
      <w:r w:rsidR="004D172F" w:rsidRPr="00F304B0">
        <w:rPr>
          <w:rFonts w:ascii="CorpoS" w:hAnsi="CorpoS"/>
          <w:i/>
          <w:sz w:val="18"/>
          <w:szCs w:val="18"/>
          <w:lang w:val="en-US"/>
        </w:rPr>
        <w:t>€</w:t>
      </w:r>
      <w:r w:rsidR="004D172F">
        <w:rPr>
          <w:rFonts w:ascii="CorpoS" w:hAnsi="CorpoS"/>
          <w:i/>
          <w:sz w:val="18"/>
          <w:szCs w:val="18"/>
          <w:lang w:val="en-US"/>
        </w:rPr>
        <w:t xml:space="preserve"> million</w:t>
      </w:r>
      <w:r w:rsidR="004D172F" w:rsidRPr="00F304B0">
        <w:rPr>
          <w:rFonts w:ascii="CorpoS" w:hAnsi="CorpoS"/>
          <w:i/>
          <w:sz w:val="18"/>
          <w:szCs w:val="18"/>
          <w:lang w:val="en-US"/>
        </w:rPr>
        <w:t>,</w:t>
      </w:r>
      <w:r w:rsidR="004D172F">
        <w:rPr>
          <w:rFonts w:ascii="CorpoS" w:hAnsi="CorpoS"/>
          <w:i/>
          <w:sz w:val="18"/>
          <w:szCs w:val="18"/>
          <w:lang w:val="en-US"/>
        </w:rPr>
        <w:t xml:space="preserve"> </w:t>
      </w:r>
      <w:r w:rsidR="00AE7F44">
        <w:rPr>
          <w:rFonts w:ascii="CorpoS" w:hAnsi="CorpoS"/>
          <w:i/>
          <w:sz w:val="18"/>
          <w:szCs w:val="18"/>
          <w:lang w:val="en-US"/>
        </w:rPr>
        <w:t>adjusted,</w:t>
      </w:r>
      <w:r w:rsidR="004D172F">
        <w:rPr>
          <w:rFonts w:ascii="CorpoS" w:hAnsi="CorpoS"/>
          <w:i/>
          <w:sz w:val="18"/>
          <w:szCs w:val="18"/>
          <w:lang w:val="en-US"/>
        </w:rPr>
        <w:t xml:space="preserve"> </w:t>
      </w:r>
      <w:r w:rsidR="00AE7F44">
        <w:rPr>
          <w:rFonts w:ascii="CorpoS" w:hAnsi="CorpoS"/>
          <w:i/>
          <w:sz w:val="18"/>
          <w:szCs w:val="18"/>
          <w:lang w:val="en-US"/>
        </w:rPr>
        <w:t>s</w:t>
      </w:r>
      <w:r w:rsidR="004D172F">
        <w:rPr>
          <w:rFonts w:ascii="CorpoS" w:hAnsi="CorpoS"/>
          <w:i/>
          <w:sz w:val="18"/>
          <w:szCs w:val="18"/>
          <w:lang w:val="en-US"/>
        </w:rPr>
        <w:t>tatements prepared in accordance with</w:t>
      </w:r>
      <w:r w:rsidR="004D172F" w:rsidRPr="00F304B0">
        <w:rPr>
          <w:rFonts w:ascii="CorpoS" w:hAnsi="CorpoS"/>
          <w:i/>
          <w:sz w:val="18"/>
          <w:szCs w:val="18"/>
          <w:lang w:val="en-US"/>
        </w:rPr>
        <w:t xml:space="preserve"> IFRS</w:t>
      </w:r>
      <w:r w:rsidR="004D172F">
        <w:rPr>
          <w:rFonts w:ascii="CorpoS" w:hAnsi="CorpoS"/>
          <w:i/>
          <w:sz w:val="18"/>
          <w:szCs w:val="18"/>
          <w:lang w:val="en-US"/>
        </w:rPr>
        <w:t>s</w:t>
      </w:r>
      <w:r w:rsidRPr="0009657C">
        <w:rPr>
          <w:rFonts w:ascii="CorpoS" w:hAnsi="CorpoS"/>
          <w:i/>
          <w:sz w:val="18"/>
          <w:szCs w:val="18"/>
          <w:lang w:val="en-US"/>
        </w:rPr>
        <w:t>)</w:t>
      </w:r>
    </w:p>
    <w:p w14:paraId="67EAF77B" w14:textId="77777777" w:rsidR="003536F8" w:rsidRPr="0009657C" w:rsidRDefault="003536F8" w:rsidP="00CF61DC">
      <w:pPr>
        <w:tabs>
          <w:tab w:val="left" w:pos="7938"/>
        </w:tabs>
        <w:suppressAutoHyphens/>
        <w:autoSpaceDE w:val="0"/>
        <w:autoSpaceDN w:val="0"/>
        <w:adjustRightInd w:val="0"/>
        <w:ind w:right="283"/>
        <w:rPr>
          <w:rFonts w:ascii="CorpoS" w:hAnsi="CorpoS"/>
          <w:i/>
          <w:sz w:val="18"/>
          <w:szCs w:val="18"/>
          <w:lang w:val="en-US"/>
        </w:rPr>
      </w:pPr>
    </w:p>
    <w:p w14:paraId="3C2510B6" w14:textId="77777777" w:rsidR="00511729" w:rsidRPr="0009657C" w:rsidRDefault="00511729" w:rsidP="00CF61DC">
      <w:pPr>
        <w:tabs>
          <w:tab w:val="left" w:pos="7938"/>
        </w:tabs>
        <w:suppressAutoHyphens/>
        <w:autoSpaceDE w:val="0"/>
        <w:autoSpaceDN w:val="0"/>
        <w:adjustRightInd w:val="0"/>
        <w:ind w:right="283"/>
        <w:rPr>
          <w:rFonts w:ascii="CorpoS" w:hAnsi="CorpoS"/>
          <w:i/>
          <w:sz w:val="10"/>
          <w:szCs w:val="1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511729" w:rsidRPr="0009657C" w14:paraId="122233D7" w14:textId="77777777" w:rsidTr="00DE3D5A">
        <w:tc>
          <w:tcPr>
            <w:tcW w:w="3969" w:type="dxa"/>
            <w:tcBorders>
              <w:right w:val="single" w:sz="4" w:space="0" w:color="auto"/>
            </w:tcBorders>
            <w:shd w:val="clear" w:color="auto" w:fill="auto"/>
          </w:tcPr>
          <w:p w14:paraId="74FEE696" w14:textId="77777777" w:rsidR="00511729" w:rsidRPr="0009657C" w:rsidRDefault="00511729" w:rsidP="00CF61DC">
            <w:pPr>
              <w:suppressAutoHyphens/>
              <w:rPr>
                <w:rFonts w:ascii="CorpoS" w:hAnsi="CorpoS"/>
                <w:b/>
                <w:sz w:val="22"/>
                <w:szCs w:val="22"/>
                <w:lang w:val="en-US"/>
              </w:rPr>
            </w:pPr>
            <w:r w:rsidRPr="0009657C">
              <w:rPr>
                <w:rFonts w:ascii="CorpoS" w:hAnsi="CorpoS"/>
                <w:b/>
                <w:sz w:val="22"/>
                <w:szCs w:val="22"/>
                <w:lang w:val="en-US"/>
              </w:rPr>
              <w:t>MTU Aero Engines</w:t>
            </w:r>
          </w:p>
          <w:p w14:paraId="71E10BD7" w14:textId="77777777" w:rsidR="00511729" w:rsidRPr="0009657C" w:rsidRDefault="00511729" w:rsidP="00CF61DC">
            <w:pPr>
              <w:suppressAutoHyphens/>
              <w:rPr>
                <w:rFonts w:ascii="CorpoS" w:hAnsi="CorpoS"/>
                <w:b/>
                <w:sz w:val="22"/>
                <w:szCs w:val="22"/>
                <w:lang w:val="en-US"/>
              </w:rPr>
            </w:pPr>
          </w:p>
        </w:tc>
        <w:tc>
          <w:tcPr>
            <w:tcW w:w="1134" w:type="dxa"/>
            <w:tcBorders>
              <w:left w:val="single" w:sz="4" w:space="0" w:color="auto"/>
              <w:right w:val="single" w:sz="4" w:space="0" w:color="auto"/>
            </w:tcBorders>
          </w:tcPr>
          <w:p w14:paraId="619020FA" w14:textId="77777777" w:rsidR="00511729" w:rsidRPr="0009657C" w:rsidRDefault="00511729" w:rsidP="00CF61DC">
            <w:pPr>
              <w:suppressAutoHyphens/>
              <w:jc w:val="right"/>
              <w:rPr>
                <w:rFonts w:ascii="CorpoS" w:hAnsi="CorpoS"/>
                <w:b/>
                <w:sz w:val="22"/>
                <w:szCs w:val="22"/>
                <w:lang w:val="en-US"/>
              </w:rPr>
            </w:pPr>
            <w:r w:rsidRPr="0009657C">
              <w:rPr>
                <w:rFonts w:ascii="CorpoS" w:hAnsi="CorpoS"/>
                <w:b/>
                <w:sz w:val="22"/>
                <w:szCs w:val="22"/>
                <w:lang w:val="en-US"/>
              </w:rPr>
              <w:t>Q3 2015</w:t>
            </w:r>
          </w:p>
        </w:tc>
        <w:tc>
          <w:tcPr>
            <w:tcW w:w="1134" w:type="dxa"/>
            <w:tcBorders>
              <w:left w:val="single" w:sz="4" w:space="0" w:color="auto"/>
              <w:right w:val="single" w:sz="18" w:space="0" w:color="auto"/>
            </w:tcBorders>
          </w:tcPr>
          <w:p w14:paraId="714E09FB" w14:textId="77777777" w:rsidR="00511729" w:rsidRPr="0009657C" w:rsidRDefault="00511729" w:rsidP="00CF61DC">
            <w:pPr>
              <w:suppressAutoHyphens/>
              <w:jc w:val="right"/>
              <w:rPr>
                <w:rFonts w:ascii="CorpoS" w:hAnsi="CorpoS"/>
                <w:b/>
                <w:sz w:val="22"/>
                <w:szCs w:val="22"/>
                <w:lang w:val="en-US"/>
              </w:rPr>
            </w:pPr>
            <w:r w:rsidRPr="0009657C">
              <w:rPr>
                <w:rFonts w:ascii="CorpoS" w:hAnsi="CorpoS"/>
                <w:b/>
                <w:sz w:val="22"/>
                <w:szCs w:val="22"/>
                <w:lang w:val="en-US"/>
              </w:rPr>
              <w:t>Q3 2016</w:t>
            </w:r>
          </w:p>
        </w:tc>
        <w:tc>
          <w:tcPr>
            <w:tcW w:w="1276" w:type="dxa"/>
            <w:tcBorders>
              <w:top w:val="single" w:sz="18" w:space="0" w:color="auto"/>
              <w:left w:val="single" w:sz="18" w:space="0" w:color="auto"/>
            </w:tcBorders>
            <w:shd w:val="clear" w:color="auto" w:fill="auto"/>
          </w:tcPr>
          <w:p w14:paraId="59E1E95A" w14:textId="0914AEB5" w:rsidR="00511729" w:rsidRPr="0009657C" w:rsidRDefault="0043597D" w:rsidP="00CF61DC">
            <w:pPr>
              <w:suppressAutoHyphens/>
              <w:jc w:val="right"/>
              <w:rPr>
                <w:rFonts w:ascii="CorpoS" w:hAnsi="CorpoS"/>
                <w:b/>
                <w:sz w:val="22"/>
                <w:szCs w:val="22"/>
                <w:lang w:val="en-US"/>
              </w:rPr>
            </w:pPr>
            <w:r>
              <w:rPr>
                <w:rFonts w:ascii="CorpoS" w:hAnsi="CorpoS"/>
                <w:b/>
                <w:sz w:val="22"/>
                <w:szCs w:val="22"/>
                <w:lang w:val="en-US"/>
              </w:rPr>
              <w:t>at</w:t>
            </w:r>
            <w:r w:rsidR="00E00A7E">
              <w:rPr>
                <w:rFonts w:ascii="CorpoS" w:hAnsi="CorpoS"/>
                <w:b/>
                <w:sz w:val="22"/>
                <w:szCs w:val="22"/>
                <w:lang w:val="en-US"/>
              </w:rPr>
              <w:t xml:space="preserve"> </w:t>
            </w:r>
            <w:r w:rsidR="00511729" w:rsidRPr="0009657C">
              <w:rPr>
                <w:rFonts w:ascii="CorpoS" w:hAnsi="CorpoS"/>
                <w:b/>
                <w:sz w:val="22"/>
                <w:szCs w:val="22"/>
                <w:lang w:val="en-US"/>
              </w:rPr>
              <w:t>Sep.</w:t>
            </w:r>
            <w:r w:rsidR="00E00A7E">
              <w:rPr>
                <w:rFonts w:ascii="CorpoS" w:hAnsi="CorpoS"/>
                <w:b/>
                <w:sz w:val="22"/>
                <w:szCs w:val="22"/>
                <w:lang w:val="en-US"/>
              </w:rPr>
              <w:t xml:space="preserve"> </w:t>
            </w:r>
            <w:r w:rsidR="00511729" w:rsidRPr="0009657C">
              <w:rPr>
                <w:rFonts w:ascii="CorpoS" w:hAnsi="CorpoS"/>
                <w:b/>
                <w:sz w:val="22"/>
                <w:szCs w:val="22"/>
                <w:lang w:val="en-US"/>
              </w:rPr>
              <w:t>2015</w:t>
            </w:r>
          </w:p>
          <w:p w14:paraId="4AC2159C" w14:textId="77777777" w:rsidR="00511729" w:rsidRPr="0009657C" w:rsidRDefault="00511729" w:rsidP="00CF61DC">
            <w:pPr>
              <w:suppressAutoHyphens/>
              <w:jc w:val="right"/>
              <w:rPr>
                <w:rFonts w:ascii="CorpoS" w:hAnsi="CorpoS"/>
                <w:i/>
                <w:sz w:val="16"/>
                <w:szCs w:val="16"/>
                <w:lang w:val="en-US"/>
              </w:rPr>
            </w:pPr>
          </w:p>
        </w:tc>
        <w:tc>
          <w:tcPr>
            <w:tcW w:w="1276" w:type="dxa"/>
            <w:tcBorders>
              <w:top w:val="single" w:sz="18" w:space="0" w:color="auto"/>
            </w:tcBorders>
            <w:shd w:val="clear" w:color="auto" w:fill="auto"/>
          </w:tcPr>
          <w:p w14:paraId="12C3DB70" w14:textId="4AA8410B" w:rsidR="00511729" w:rsidRPr="0009657C" w:rsidRDefault="0043597D" w:rsidP="0043597D">
            <w:pPr>
              <w:suppressAutoHyphens/>
              <w:jc w:val="right"/>
              <w:rPr>
                <w:rFonts w:ascii="CorpoS" w:hAnsi="CorpoS"/>
                <w:b/>
                <w:sz w:val="22"/>
                <w:szCs w:val="22"/>
                <w:lang w:val="en-US"/>
              </w:rPr>
            </w:pPr>
            <w:r>
              <w:rPr>
                <w:rFonts w:ascii="CorpoS" w:hAnsi="CorpoS"/>
                <w:b/>
                <w:sz w:val="22"/>
                <w:szCs w:val="22"/>
                <w:lang w:val="en-US"/>
              </w:rPr>
              <w:t>at</w:t>
            </w:r>
            <w:r w:rsidR="00E00A7E">
              <w:rPr>
                <w:rFonts w:ascii="CorpoS" w:hAnsi="CorpoS"/>
                <w:b/>
                <w:sz w:val="22"/>
                <w:szCs w:val="22"/>
                <w:lang w:val="en-US"/>
              </w:rPr>
              <w:t xml:space="preserve"> </w:t>
            </w:r>
            <w:r w:rsidR="00511729" w:rsidRPr="0009657C">
              <w:rPr>
                <w:rFonts w:ascii="CorpoS" w:hAnsi="CorpoS"/>
                <w:b/>
                <w:sz w:val="22"/>
                <w:szCs w:val="22"/>
                <w:lang w:val="en-US"/>
              </w:rPr>
              <w:t>Sep.</w:t>
            </w:r>
            <w:r w:rsidR="00E00A7E">
              <w:rPr>
                <w:rFonts w:ascii="CorpoS" w:hAnsi="CorpoS"/>
                <w:b/>
                <w:sz w:val="22"/>
                <w:szCs w:val="22"/>
                <w:lang w:val="en-US"/>
              </w:rPr>
              <w:t xml:space="preserve"> </w:t>
            </w:r>
            <w:r w:rsidR="00511729" w:rsidRPr="0009657C">
              <w:rPr>
                <w:rFonts w:ascii="CorpoS" w:hAnsi="CorpoS"/>
                <w:b/>
                <w:sz w:val="22"/>
                <w:szCs w:val="22"/>
                <w:lang w:val="en-US"/>
              </w:rPr>
              <w:t>2016</w:t>
            </w:r>
          </w:p>
        </w:tc>
        <w:tc>
          <w:tcPr>
            <w:tcW w:w="1418" w:type="dxa"/>
            <w:tcBorders>
              <w:top w:val="single" w:sz="18" w:space="0" w:color="auto"/>
              <w:right w:val="single" w:sz="18" w:space="0" w:color="auto"/>
            </w:tcBorders>
            <w:shd w:val="clear" w:color="auto" w:fill="auto"/>
          </w:tcPr>
          <w:p w14:paraId="7EC62263" w14:textId="2455E6FB" w:rsidR="00511729" w:rsidRPr="0009657C" w:rsidRDefault="00954FB4" w:rsidP="00CF61DC">
            <w:pPr>
              <w:suppressAutoHyphens/>
              <w:ind w:right="33"/>
              <w:rPr>
                <w:rFonts w:ascii="CorpoS" w:hAnsi="CorpoS"/>
                <w:b/>
                <w:sz w:val="22"/>
                <w:szCs w:val="22"/>
                <w:lang w:val="en-US"/>
              </w:rPr>
            </w:pPr>
            <w:r>
              <w:rPr>
                <w:rFonts w:ascii="CorpoS" w:hAnsi="CorpoS"/>
                <w:b/>
                <w:sz w:val="22"/>
                <w:szCs w:val="22"/>
                <w:lang w:val="en-US"/>
              </w:rPr>
              <w:t>Change</w:t>
            </w:r>
          </w:p>
        </w:tc>
      </w:tr>
      <w:tr w:rsidR="00721388" w:rsidRPr="0009657C" w14:paraId="3A1B7F2A" w14:textId="77777777" w:rsidTr="00DE3D5A">
        <w:tc>
          <w:tcPr>
            <w:tcW w:w="3969" w:type="dxa"/>
            <w:tcBorders>
              <w:right w:val="single" w:sz="4" w:space="0" w:color="auto"/>
            </w:tcBorders>
            <w:shd w:val="clear" w:color="auto" w:fill="auto"/>
          </w:tcPr>
          <w:p w14:paraId="452B8CF5" w14:textId="4A98F2C8" w:rsidR="00721388" w:rsidRPr="0009657C" w:rsidRDefault="00721388" w:rsidP="000E7749">
            <w:pPr>
              <w:suppressAutoHyphens/>
              <w:rPr>
                <w:rFonts w:ascii="CorpoS" w:hAnsi="CorpoS"/>
                <w:sz w:val="22"/>
                <w:szCs w:val="22"/>
                <w:lang w:val="en-US"/>
              </w:rPr>
            </w:pPr>
            <w:r>
              <w:rPr>
                <w:rFonts w:ascii="CorpoS" w:hAnsi="CorpoS"/>
                <w:sz w:val="22"/>
                <w:szCs w:val="22"/>
                <w:lang w:val="en-US"/>
              </w:rPr>
              <w:t>Revenues</w:t>
            </w:r>
          </w:p>
        </w:tc>
        <w:tc>
          <w:tcPr>
            <w:tcW w:w="1134" w:type="dxa"/>
            <w:tcBorders>
              <w:left w:val="single" w:sz="4" w:space="0" w:color="auto"/>
              <w:right w:val="single" w:sz="4" w:space="0" w:color="auto"/>
            </w:tcBorders>
            <w:vAlign w:val="center"/>
          </w:tcPr>
          <w:p w14:paraId="32CB6247" w14:textId="6CD45020"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1,055.0</w:t>
            </w:r>
          </w:p>
        </w:tc>
        <w:tc>
          <w:tcPr>
            <w:tcW w:w="1134" w:type="dxa"/>
            <w:tcBorders>
              <w:left w:val="single" w:sz="4" w:space="0" w:color="auto"/>
              <w:right w:val="single" w:sz="18" w:space="0" w:color="auto"/>
            </w:tcBorders>
            <w:vAlign w:val="center"/>
          </w:tcPr>
          <w:p w14:paraId="3F861E60" w14:textId="73D644C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1,102.1</w:t>
            </w:r>
          </w:p>
        </w:tc>
        <w:tc>
          <w:tcPr>
            <w:tcW w:w="1276" w:type="dxa"/>
            <w:tcBorders>
              <w:left w:val="single" w:sz="18" w:space="0" w:color="auto"/>
            </w:tcBorders>
            <w:shd w:val="clear" w:color="auto" w:fill="auto"/>
            <w:vAlign w:val="center"/>
          </w:tcPr>
          <w:p w14:paraId="174827E3" w14:textId="0B697231"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3,257.0</w:t>
            </w:r>
          </w:p>
        </w:tc>
        <w:tc>
          <w:tcPr>
            <w:tcW w:w="1276" w:type="dxa"/>
            <w:shd w:val="clear" w:color="auto" w:fill="auto"/>
            <w:vAlign w:val="center"/>
          </w:tcPr>
          <w:p w14:paraId="462EEF3B" w14:textId="49A52311"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3,401.3</w:t>
            </w:r>
          </w:p>
        </w:tc>
        <w:tc>
          <w:tcPr>
            <w:tcW w:w="1418" w:type="dxa"/>
            <w:tcBorders>
              <w:right w:val="single" w:sz="18" w:space="0" w:color="auto"/>
            </w:tcBorders>
            <w:shd w:val="clear" w:color="auto" w:fill="auto"/>
            <w:vAlign w:val="center"/>
          </w:tcPr>
          <w:p w14:paraId="119C7404" w14:textId="30E60CBF"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+ 4.4%</w:t>
            </w:r>
          </w:p>
        </w:tc>
      </w:tr>
      <w:tr w:rsidR="00721388" w:rsidRPr="0009657C" w14:paraId="674A9A77" w14:textId="77777777" w:rsidTr="00DE3D5A">
        <w:tc>
          <w:tcPr>
            <w:tcW w:w="3969" w:type="dxa"/>
            <w:tcBorders>
              <w:right w:val="single" w:sz="4" w:space="0" w:color="auto"/>
            </w:tcBorders>
            <w:shd w:val="clear" w:color="auto" w:fill="auto"/>
          </w:tcPr>
          <w:p w14:paraId="4BEA538F" w14:textId="36D8EA41" w:rsidR="00721388" w:rsidRPr="0009657C" w:rsidRDefault="00721388" w:rsidP="0043597D">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779484F7" w14:textId="50C05FF7"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671.6</w:t>
            </w:r>
          </w:p>
        </w:tc>
        <w:tc>
          <w:tcPr>
            <w:tcW w:w="1134" w:type="dxa"/>
            <w:tcBorders>
              <w:left w:val="single" w:sz="4" w:space="0" w:color="auto"/>
              <w:right w:val="single" w:sz="18" w:space="0" w:color="auto"/>
            </w:tcBorders>
            <w:vAlign w:val="center"/>
          </w:tcPr>
          <w:p w14:paraId="17BDE6C7" w14:textId="351E25F7"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654.0</w:t>
            </w:r>
          </w:p>
        </w:tc>
        <w:tc>
          <w:tcPr>
            <w:tcW w:w="1276" w:type="dxa"/>
            <w:tcBorders>
              <w:left w:val="single" w:sz="18" w:space="0" w:color="auto"/>
            </w:tcBorders>
            <w:shd w:val="clear" w:color="auto" w:fill="auto"/>
            <w:vAlign w:val="center"/>
          </w:tcPr>
          <w:p w14:paraId="6B4B1B42" w14:textId="484BDFB3"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2,138.7</w:t>
            </w:r>
          </w:p>
        </w:tc>
        <w:tc>
          <w:tcPr>
            <w:tcW w:w="1276" w:type="dxa"/>
            <w:shd w:val="clear" w:color="auto" w:fill="auto"/>
            <w:vAlign w:val="center"/>
          </w:tcPr>
          <w:p w14:paraId="3B61B14E" w14:textId="074007B3"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2,095.1</w:t>
            </w:r>
          </w:p>
        </w:tc>
        <w:tc>
          <w:tcPr>
            <w:tcW w:w="1418" w:type="dxa"/>
            <w:tcBorders>
              <w:right w:val="single" w:sz="18" w:space="0" w:color="auto"/>
            </w:tcBorders>
            <w:shd w:val="clear" w:color="auto" w:fill="auto"/>
            <w:vAlign w:val="center"/>
          </w:tcPr>
          <w:p w14:paraId="2DDBE0C4" w14:textId="4CCC4F7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- 2.0%</w:t>
            </w:r>
          </w:p>
        </w:tc>
      </w:tr>
      <w:tr w:rsidR="00721388" w:rsidRPr="0009657C" w14:paraId="32F2F5D9" w14:textId="77777777" w:rsidTr="00DE3D5A">
        <w:tc>
          <w:tcPr>
            <w:tcW w:w="3969" w:type="dxa"/>
            <w:tcBorders>
              <w:right w:val="single" w:sz="4" w:space="0" w:color="auto"/>
            </w:tcBorders>
            <w:shd w:val="clear" w:color="auto" w:fill="auto"/>
          </w:tcPr>
          <w:p w14:paraId="3414AA36" w14:textId="025D7FE9" w:rsidR="00721388" w:rsidRPr="0009657C" w:rsidRDefault="00721388" w:rsidP="000E7749">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engine business</w:t>
            </w:r>
          </w:p>
        </w:tc>
        <w:tc>
          <w:tcPr>
            <w:tcW w:w="1134" w:type="dxa"/>
            <w:tcBorders>
              <w:left w:val="single" w:sz="4" w:space="0" w:color="auto"/>
              <w:right w:val="single" w:sz="4" w:space="0" w:color="auto"/>
            </w:tcBorders>
            <w:vAlign w:val="center"/>
          </w:tcPr>
          <w:p w14:paraId="17D2B170" w14:textId="7301949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541.0</w:t>
            </w:r>
          </w:p>
        </w:tc>
        <w:tc>
          <w:tcPr>
            <w:tcW w:w="1134" w:type="dxa"/>
            <w:tcBorders>
              <w:left w:val="single" w:sz="4" w:space="0" w:color="auto"/>
              <w:right w:val="single" w:sz="18" w:space="0" w:color="auto"/>
            </w:tcBorders>
            <w:vAlign w:val="center"/>
          </w:tcPr>
          <w:p w14:paraId="08EDC4AC" w14:textId="39A901DF"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537.4</w:t>
            </w:r>
          </w:p>
        </w:tc>
        <w:tc>
          <w:tcPr>
            <w:tcW w:w="1276" w:type="dxa"/>
            <w:tcBorders>
              <w:left w:val="single" w:sz="18" w:space="0" w:color="auto"/>
            </w:tcBorders>
            <w:shd w:val="clear" w:color="auto" w:fill="auto"/>
            <w:vAlign w:val="center"/>
          </w:tcPr>
          <w:p w14:paraId="249EA9B1" w14:textId="1862C13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1,792.8</w:t>
            </w:r>
          </w:p>
        </w:tc>
        <w:tc>
          <w:tcPr>
            <w:tcW w:w="1276" w:type="dxa"/>
            <w:shd w:val="clear" w:color="auto" w:fill="auto"/>
            <w:vAlign w:val="center"/>
          </w:tcPr>
          <w:p w14:paraId="75E0AF68" w14:textId="0E54BCA1"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1,738.3</w:t>
            </w:r>
          </w:p>
        </w:tc>
        <w:tc>
          <w:tcPr>
            <w:tcW w:w="1418" w:type="dxa"/>
            <w:tcBorders>
              <w:right w:val="single" w:sz="18" w:space="0" w:color="auto"/>
            </w:tcBorders>
            <w:shd w:val="clear" w:color="auto" w:fill="auto"/>
            <w:vAlign w:val="center"/>
          </w:tcPr>
          <w:p w14:paraId="47B62D41" w14:textId="0761D13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- 3.0%</w:t>
            </w:r>
          </w:p>
        </w:tc>
      </w:tr>
      <w:tr w:rsidR="00721388" w:rsidRPr="0009657C" w14:paraId="6A801520" w14:textId="77777777" w:rsidTr="00DE3D5A">
        <w:tc>
          <w:tcPr>
            <w:tcW w:w="3969" w:type="dxa"/>
            <w:tcBorders>
              <w:right w:val="single" w:sz="4" w:space="0" w:color="auto"/>
            </w:tcBorders>
            <w:shd w:val="clear" w:color="auto" w:fill="auto"/>
          </w:tcPr>
          <w:p w14:paraId="2DCE5A81" w14:textId="50236D0E" w:rsidR="00721388" w:rsidRPr="0009657C" w:rsidRDefault="00721388" w:rsidP="000E7749">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milit</w:t>
            </w:r>
            <w:r>
              <w:rPr>
                <w:rFonts w:ascii="CorpoS" w:hAnsi="CorpoS"/>
                <w:sz w:val="22"/>
                <w:szCs w:val="22"/>
                <w:lang w:val="en-US"/>
              </w:rPr>
              <w:t>ary engine business</w:t>
            </w:r>
          </w:p>
        </w:tc>
        <w:tc>
          <w:tcPr>
            <w:tcW w:w="1134" w:type="dxa"/>
            <w:tcBorders>
              <w:left w:val="single" w:sz="4" w:space="0" w:color="auto"/>
              <w:right w:val="single" w:sz="4" w:space="0" w:color="auto"/>
            </w:tcBorders>
            <w:vAlign w:val="center"/>
          </w:tcPr>
          <w:p w14:paraId="6072C414" w14:textId="250148A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130.6</w:t>
            </w:r>
          </w:p>
        </w:tc>
        <w:tc>
          <w:tcPr>
            <w:tcW w:w="1134" w:type="dxa"/>
            <w:tcBorders>
              <w:left w:val="single" w:sz="4" w:space="0" w:color="auto"/>
              <w:right w:val="single" w:sz="18" w:space="0" w:color="auto"/>
            </w:tcBorders>
            <w:vAlign w:val="center"/>
          </w:tcPr>
          <w:p w14:paraId="2DD91C77" w14:textId="64935FD3"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116.6</w:t>
            </w:r>
          </w:p>
        </w:tc>
        <w:tc>
          <w:tcPr>
            <w:tcW w:w="1276" w:type="dxa"/>
            <w:tcBorders>
              <w:left w:val="single" w:sz="18" w:space="0" w:color="auto"/>
            </w:tcBorders>
            <w:shd w:val="clear" w:color="auto" w:fill="auto"/>
            <w:vAlign w:val="center"/>
          </w:tcPr>
          <w:p w14:paraId="7D25DBF7" w14:textId="653C6EED"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345.9</w:t>
            </w:r>
          </w:p>
        </w:tc>
        <w:tc>
          <w:tcPr>
            <w:tcW w:w="1276" w:type="dxa"/>
            <w:shd w:val="clear" w:color="auto" w:fill="auto"/>
            <w:vAlign w:val="center"/>
          </w:tcPr>
          <w:p w14:paraId="307491A9" w14:textId="5846CCA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356.8</w:t>
            </w:r>
          </w:p>
        </w:tc>
        <w:tc>
          <w:tcPr>
            <w:tcW w:w="1418" w:type="dxa"/>
            <w:tcBorders>
              <w:right w:val="single" w:sz="18" w:space="0" w:color="auto"/>
            </w:tcBorders>
            <w:shd w:val="clear" w:color="auto" w:fill="auto"/>
            <w:vAlign w:val="center"/>
          </w:tcPr>
          <w:p w14:paraId="0304CED9" w14:textId="6C669D52"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+ 3.2%</w:t>
            </w:r>
          </w:p>
        </w:tc>
      </w:tr>
      <w:tr w:rsidR="00721388" w:rsidRPr="0009657C" w14:paraId="6A906F3D" w14:textId="77777777" w:rsidTr="00DE3D5A">
        <w:tc>
          <w:tcPr>
            <w:tcW w:w="3969" w:type="dxa"/>
            <w:tcBorders>
              <w:right w:val="single" w:sz="4" w:space="0" w:color="auto"/>
            </w:tcBorders>
            <w:shd w:val="clear" w:color="auto" w:fill="auto"/>
          </w:tcPr>
          <w:p w14:paraId="4EB7529B" w14:textId="31C900B5" w:rsidR="00721388" w:rsidRPr="0009657C" w:rsidRDefault="00721388" w:rsidP="0043597D">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69E8D6F4" w14:textId="3C5FA662"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394.2</w:t>
            </w:r>
          </w:p>
        </w:tc>
        <w:tc>
          <w:tcPr>
            <w:tcW w:w="1134" w:type="dxa"/>
            <w:tcBorders>
              <w:left w:val="single" w:sz="4" w:space="0" w:color="auto"/>
              <w:right w:val="single" w:sz="18" w:space="0" w:color="auto"/>
            </w:tcBorders>
            <w:vAlign w:val="center"/>
          </w:tcPr>
          <w:p w14:paraId="248B35E5" w14:textId="6741910F"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475.0</w:t>
            </w:r>
          </w:p>
        </w:tc>
        <w:tc>
          <w:tcPr>
            <w:tcW w:w="1276" w:type="dxa"/>
            <w:tcBorders>
              <w:left w:val="single" w:sz="18" w:space="0" w:color="auto"/>
            </w:tcBorders>
            <w:shd w:val="clear" w:color="auto" w:fill="auto"/>
            <w:vAlign w:val="center"/>
          </w:tcPr>
          <w:p w14:paraId="0B9F5136" w14:textId="662D00B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1,148.4</w:t>
            </w:r>
          </w:p>
        </w:tc>
        <w:tc>
          <w:tcPr>
            <w:tcW w:w="1276" w:type="dxa"/>
            <w:shd w:val="clear" w:color="auto" w:fill="auto"/>
            <w:vAlign w:val="center"/>
          </w:tcPr>
          <w:p w14:paraId="79FB2EE0" w14:textId="105DDB2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1,368.3</w:t>
            </w:r>
          </w:p>
        </w:tc>
        <w:tc>
          <w:tcPr>
            <w:tcW w:w="1418" w:type="dxa"/>
            <w:tcBorders>
              <w:right w:val="single" w:sz="18" w:space="0" w:color="auto"/>
            </w:tcBorders>
            <w:shd w:val="clear" w:color="auto" w:fill="auto"/>
            <w:vAlign w:val="center"/>
          </w:tcPr>
          <w:p w14:paraId="3442324C" w14:textId="33DB413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+ 19.1%</w:t>
            </w:r>
          </w:p>
        </w:tc>
      </w:tr>
      <w:tr w:rsidR="00721388" w:rsidRPr="0009657C" w14:paraId="4A9366EB" w14:textId="77777777" w:rsidTr="00DE3D5A">
        <w:tc>
          <w:tcPr>
            <w:tcW w:w="3969" w:type="dxa"/>
            <w:tcBorders>
              <w:right w:val="single" w:sz="4" w:space="0" w:color="auto"/>
            </w:tcBorders>
            <w:shd w:val="clear" w:color="auto" w:fill="auto"/>
          </w:tcPr>
          <w:p w14:paraId="42086B00" w14:textId="356B1E92" w:rsidR="00721388" w:rsidRPr="0009657C" w:rsidRDefault="00721388" w:rsidP="000E7749">
            <w:pPr>
              <w:suppressAutoHyphens/>
              <w:rPr>
                <w:rFonts w:ascii="CorpoS" w:hAnsi="CorpoS"/>
                <w:sz w:val="22"/>
                <w:szCs w:val="22"/>
                <w:lang w:val="en-US"/>
              </w:rPr>
            </w:pPr>
            <w:r w:rsidRPr="0009657C">
              <w:rPr>
                <w:rFonts w:ascii="CorpoS" w:hAnsi="CorpoS"/>
                <w:sz w:val="22"/>
                <w:szCs w:val="22"/>
                <w:lang w:val="en-US"/>
              </w:rPr>
              <w:t>EBIT (</w:t>
            </w:r>
            <w:r>
              <w:rPr>
                <w:rFonts w:ascii="CorpoS" w:hAnsi="CorpoS"/>
                <w:sz w:val="22"/>
                <w:szCs w:val="22"/>
                <w:lang w:val="en-US"/>
              </w:rPr>
              <w:t>adjusted</w:t>
            </w:r>
            <w:r w:rsidRPr="0009657C">
              <w:rPr>
                <w:rFonts w:ascii="CorpoS" w:hAnsi="CorpoS"/>
                <w:sz w:val="22"/>
                <w:szCs w:val="22"/>
                <w:lang w:val="en-US"/>
              </w:rPr>
              <w:t>)</w:t>
            </w:r>
          </w:p>
        </w:tc>
        <w:tc>
          <w:tcPr>
            <w:tcW w:w="1134" w:type="dxa"/>
            <w:tcBorders>
              <w:left w:val="single" w:sz="4" w:space="0" w:color="auto"/>
              <w:right w:val="single" w:sz="4" w:space="0" w:color="auto"/>
            </w:tcBorders>
            <w:vAlign w:val="center"/>
          </w:tcPr>
          <w:p w14:paraId="57FDB1CB" w14:textId="5AEB075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120.3</w:t>
            </w:r>
          </w:p>
        </w:tc>
        <w:tc>
          <w:tcPr>
            <w:tcW w:w="1134" w:type="dxa"/>
            <w:tcBorders>
              <w:left w:val="single" w:sz="4" w:space="0" w:color="auto"/>
              <w:right w:val="single" w:sz="18" w:space="0" w:color="auto"/>
            </w:tcBorders>
            <w:vAlign w:val="center"/>
          </w:tcPr>
          <w:p w14:paraId="3A9AADEF" w14:textId="7AE5450D"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139.7</w:t>
            </w:r>
          </w:p>
        </w:tc>
        <w:tc>
          <w:tcPr>
            <w:tcW w:w="1276" w:type="dxa"/>
            <w:tcBorders>
              <w:left w:val="single" w:sz="18" w:space="0" w:color="auto"/>
            </w:tcBorders>
            <w:shd w:val="clear" w:color="auto" w:fill="auto"/>
            <w:vAlign w:val="center"/>
          </w:tcPr>
          <w:p w14:paraId="5B0F86F5" w14:textId="24252B56"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333.1</w:t>
            </w:r>
          </w:p>
        </w:tc>
        <w:tc>
          <w:tcPr>
            <w:tcW w:w="1276" w:type="dxa"/>
            <w:shd w:val="clear" w:color="auto" w:fill="auto"/>
            <w:vAlign w:val="center"/>
          </w:tcPr>
          <w:p w14:paraId="7DB95CBC" w14:textId="2B45F03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393.8</w:t>
            </w:r>
          </w:p>
        </w:tc>
        <w:tc>
          <w:tcPr>
            <w:tcW w:w="1418" w:type="dxa"/>
            <w:tcBorders>
              <w:right w:val="single" w:sz="18" w:space="0" w:color="auto"/>
            </w:tcBorders>
            <w:shd w:val="clear" w:color="auto" w:fill="auto"/>
            <w:vAlign w:val="center"/>
          </w:tcPr>
          <w:p w14:paraId="4B27A28A" w14:textId="3E285333"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+ 18.2%</w:t>
            </w:r>
          </w:p>
        </w:tc>
      </w:tr>
      <w:tr w:rsidR="00721388" w:rsidRPr="0009657C" w14:paraId="2ACDA2C2" w14:textId="77777777" w:rsidTr="00DE3D5A">
        <w:tc>
          <w:tcPr>
            <w:tcW w:w="3969" w:type="dxa"/>
            <w:tcBorders>
              <w:right w:val="single" w:sz="4" w:space="0" w:color="auto"/>
            </w:tcBorders>
            <w:shd w:val="clear" w:color="auto" w:fill="auto"/>
          </w:tcPr>
          <w:p w14:paraId="13E01699" w14:textId="45637AEB" w:rsidR="00721388" w:rsidRPr="0009657C" w:rsidRDefault="00721388" w:rsidP="0043597D">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16CF9B2A" w14:textId="6539445D"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81.2</w:t>
            </w:r>
          </w:p>
        </w:tc>
        <w:tc>
          <w:tcPr>
            <w:tcW w:w="1134" w:type="dxa"/>
            <w:tcBorders>
              <w:left w:val="single" w:sz="4" w:space="0" w:color="auto"/>
              <w:right w:val="single" w:sz="18" w:space="0" w:color="auto"/>
            </w:tcBorders>
            <w:vAlign w:val="center"/>
          </w:tcPr>
          <w:p w14:paraId="35805AD9" w14:textId="6AE8D468"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95.0</w:t>
            </w:r>
          </w:p>
        </w:tc>
        <w:tc>
          <w:tcPr>
            <w:tcW w:w="1276" w:type="dxa"/>
            <w:tcBorders>
              <w:left w:val="single" w:sz="18" w:space="0" w:color="auto"/>
            </w:tcBorders>
            <w:shd w:val="clear" w:color="auto" w:fill="auto"/>
            <w:vAlign w:val="center"/>
          </w:tcPr>
          <w:p w14:paraId="182A0057" w14:textId="7DF07DC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220.4</w:t>
            </w:r>
          </w:p>
        </w:tc>
        <w:tc>
          <w:tcPr>
            <w:tcW w:w="1276" w:type="dxa"/>
            <w:shd w:val="clear" w:color="auto" w:fill="auto"/>
            <w:vAlign w:val="center"/>
          </w:tcPr>
          <w:p w14:paraId="1E5BC45A" w14:textId="246EA9E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264.5</w:t>
            </w:r>
          </w:p>
        </w:tc>
        <w:tc>
          <w:tcPr>
            <w:tcW w:w="1418" w:type="dxa"/>
            <w:tcBorders>
              <w:right w:val="single" w:sz="18" w:space="0" w:color="auto"/>
            </w:tcBorders>
            <w:shd w:val="clear" w:color="auto" w:fill="auto"/>
            <w:vAlign w:val="center"/>
          </w:tcPr>
          <w:p w14:paraId="418873C2" w14:textId="7A762CB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+ 20.0%</w:t>
            </w:r>
          </w:p>
        </w:tc>
      </w:tr>
      <w:tr w:rsidR="00721388" w:rsidRPr="0009657C" w14:paraId="2F69EA53" w14:textId="77777777" w:rsidTr="00DE3D5A">
        <w:tc>
          <w:tcPr>
            <w:tcW w:w="3969" w:type="dxa"/>
            <w:tcBorders>
              <w:right w:val="single" w:sz="4" w:space="0" w:color="auto"/>
            </w:tcBorders>
            <w:shd w:val="clear" w:color="auto" w:fill="auto"/>
          </w:tcPr>
          <w:p w14:paraId="2DE9B8AE" w14:textId="23387D91" w:rsidR="00721388" w:rsidRPr="0009657C" w:rsidRDefault="00721388" w:rsidP="00642B7E">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00642B7E">
              <w:rPr>
                <w:rFonts w:ascii="CorpoS" w:hAnsi="CorpoS"/>
                <w:sz w:val="22"/>
                <w:szCs w:val="22"/>
                <w:lang w:val="en-US"/>
              </w:rPr>
              <w:t>commercial maintenance</w:t>
            </w:r>
          </w:p>
        </w:tc>
        <w:tc>
          <w:tcPr>
            <w:tcW w:w="1134" w:type="dxa"/>
            <w:tcBorders>
              <w:left w:val="single" w:sz="4" w:space="0" w:color="auto"/>
              <w:right w:val="single" w:sz="4" w:space="0" w:color="auto"/>
            </w:tcBorders>
            <w:vAlign w:val="center"/>
          </w:tcPr>
          <w:p w14:paraId="7A5EBAA2" w14:textId="3219A056"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38.9</w:t>
            </w:r>
          </w:p>
        </w:tc>
        <w:tc>
          <w:tcPr>
            <w:tcW w:w="1134" w:type="dxa"/>
            <w:tcBorders>
              <w:left w:val="single" w:sz="4" w:space="0" w:color="auto"/>
              <w:right w:val="single" w:sz="18" w:space="0" w:color="auto"/>
            </w:tcBorders>
            <w:vAlign w:val="center"/>
          </w:tcPr>
          <w:p w14:paraId="1F2AC760" w14:textId="6304965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44.5</w:t>
            </w:r>
          </w:p>
        </w:tc>
        <w:tc>
          <w:tcPr>
            <w:tcW w:w="1276" w:type="dxa"/>
            <w:tcBorders>
              <w:left w:val="single" w:sz="18" w:space="0" w:color="auto"/>
            </w:tcBorders>
            <w:shd w:val="clear" w:color="auto" w:fill="auto"/>
            <w:vAlign w:val="center"/>
          </w:tcPr>
          <w:p w14:paraId="472F5E5A" w14:textId="7DB67506"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112.4</w:t>
            </w:r>
          </w:p>
        </w:tc>
        <w:tc>
          <w:tcPr>
            <w:tcW w:w="1276" w:type="dxa"/>
            <w:shd w:val="clear" w:color="auto" w:fill="auto"/>
            <w:vAlign w:val="center"/>
          </w:tcPr>
          <w:p w14:paraId="7F439089" w14:textId="33E6213A"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129.0</w:t>
            </w:r>
          </w:p>
        </w:tc>
        <w:tc>
          <w:tcPr>
            <w:tcW w:w="1418" w:type="dxa"/>
            <w:tcBorders>
              <w:right w:val="single" w:sz="18" w:space="0" w:color="auto"/>
            </w:tcBorders>
            <w:shd w:val="clear" w:color="auto" w:fill="auto"/>
            <w:vAlign w:val="center"/>
          </w:tcPr>
          <w:p w14:paraId="5E0CE2E9" w14:textId="4C2FA74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+ 14.8%</w:t>
            </w:r>
          </w:p>
        </w:tc>
      </w:tr>
      <w:tr w:rsidR="00721388" w:rsidRPr="0009657C" w:rsidDel="0033104F" w14:paraId="56F46B6D" w14:textId="77777777" w:rsidTr="00DE3D5A">
        <w:tc>
          <w:tcPr>
            <w:tcW w:w="3969" w:type="dxa"/>
            <w:tcBorders>
              <w:right w:val="single" w:sz="4" w:space="0" w:color="auto"/>
            </w:tcBorders>
            <w:shd w:val="clear" w:color="auto" w:fill="auto"/>
          </w:tcPr>
          <w:p w14:paraId="0D4F384A" w14:textId="491113DA" w:rsidR="00721388" w:rsidRPr="0009657C" w:rsidRDefault="00721388" w:rsidP="000E7749">
            <w:pPr>
              <w:suppressAutoHyphens/>
              <w:rPr>
                <w:rFonts w:ascii="CorpoS" w:hAnsi="CorpoS"/>
                <w:i/>
                <w:sz w:val="22"/>
                <w:szCs w:val="22"/>
                <w:lang w:val="en-US"/>
              </w:rPr>
            </w:pPr>
            <w:r w:rsidRPr="0009657C">
              <w:rPr>
                <w:rFonts w:ascii="CorpoS" w:hAnsi="CorpoS"/>
                <w:i/>
                <w:sz w:val="22"/>
                <w:szCs w:val="22"/>
                <w:lang w:val="en-US"/>
              </w:rPr>
              <w:t>EBIT</w:t>
            </w:r>
            <w:r>
              <w:rPr>
                <w:rFonts w:ascii="CorpoS" w:hAnsi="CorpoS"/>
                <w:i/>
                <w:sz w:val="22"/>
                <w:szCs w:val="22"/>
                <w:lang w:val="en-US"/>
              </w:rPr>
              <w:t xml:space="preserve"> margin</w:t>
            </w:r>
            <w:r w:rsidRPr="0009657C">
              <w:rPr>
                <w:rFonts w:ascii="CorpoS" w:hAnsi="CorpoS"/>
                <w:i/>
                <w:sz w:val="22"/>
                <w:szCs w:val="22"/>
                <w:lang w:val="en-US"/>
              </w:rPr>
              <w:t xml:space="preserve"> (</w:t>
            </w:r>
            <w:r>
              <w:rPr>
                <w:rFonts w:ascii="CorpoS" w:hAnsi="CorpoS"/>
                <w:i/>
                <w:sz w:val="22"/>
                <w:szCs w:val="22"/>
                <w:lang w:val="en-US"/>
              </w:rPr>
              <w:t>adjusted</w:t>
            </w:r>
            <w:r w:rsidRPr="0009657C">
              <w:rPr>
                <w:rFonts w:ascii="CorpoS" w:hAnsi="CorpoS"/>
                <w:i/>
                <w:sz w:val="22"/>
                <w:szCs w:val="22"/>
                <w:lang w:val="en-US"/>
              </w:rPr>
              <w:t>)</w:t>
            </w:r>
          </w:p>
        </w:tc>
        <w:tc>
          <w:tcPr>
            <w:tcW w:w="1134" w:type="dxa"/>
            <w:tcBorders>
              <w:left w:val="single" w:sz="4" w:space="0" w:color="auto"/>
              <w:right w:val="single" w:sz="4" w:space="0" w:color="auto"/>
            </w:tcBorders>
            <w:vAlign w:val="center"/>
          </w:tcPr>
          <w:p w14:paraId="332F22F6" w14:textId="13283F54"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11.4%</w:t>
            </w:r>
          </w:p>
        </w:tc>
        <w:tc>
          <w:tcPr>
            <w:tcW w:w="1134" w:type="dxa"/>
            <w:tcBorders>
              <w:left w:val="single" w:sz="4" w:space="0" w:color="auto"/>
              <w:right w:val="single" w:sz="18" w:space="0" w:color="auto"/>
            </w:tcBorders>
            <w:vAlign w:val="center"/>
          </w:tcPr>
          <w:p w14:paraId="325CF40F" w14:textId="2DAE4EE0"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12.7%</w:t>
            </w:r>
          </w:p>
        </w:tc>
        <w:tc>
          <w:tcPr>
            <w:tcW w:w="1276" w:type="dxa"/>
            <w:tcBorders>
              <w:left w:val="single" w:sz="18" w:space="0" w:color="auto"/>
            </w:tcBorders>
            <w:shd w:val="clear" w:color="auto" w:fill="auto"/>
            <w:vAlign w:val="center"/>
          </w:tcPr>
          <w:p w14:paraId="330BC23C" w14:textId="4DD72485"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10.2%</w:t>
            </w:r>
          </w:p>
        </w:tc>
        <w:tc>
          <w:tcPr>
            <w:tcW w:w="1276" w:type="dxa"/>
            <w:shd w:val="clear" w:color="auto" w:fill="auto"/>
            <w:vAlign w:val="center"/>
          </w:tcPr>
          <w:p w14:paraId="65274904" w14:textId="32F7E90F"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11.6%</w:t>
            </w:r>
          </w:p>
        </w:tc>
        <w:tc>
          <w:tcPr>
            <w:tcW w:w="1418" w:type="dxa"/>
            <w:tcBorders>
              <w:right w:val="single" w:sz="18" w:space="0" w:color="auto"/>
            </w:tcBorders>
            <w:shd w:val="clear" w:color="auto" w:fill="auto"/>
            <w:vAlign w:val="center"/>
          </w:tcPr>
          <w:p w14:paraId="2F291AC3" w14:textId="03809637"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721388" w:rsidRPr="0009657C" w:rsidDel="0033104F" w14:paraId="564E35AC" w14:textId="77777777" w:rsidTr="00DE3D5A">
        <w:tc>
          <w:tcPr>
            <w:tcW w:w="3969" w:type="dxa"/>
            <w:tcBorders>
              <w:right w:val="single" w:sz="4" w:space="0" w:color="auto"/>
            </w:tcBorders>
            <w:shd w:val="clear" w:color="auto" w:fill="auto"/>
          </w:tcPr>
          <w:p w14:paraId="79CA2476" w14:textId="62EFF0A6" w:rsidR="00721388" w:rsidRPr="0009657C" w:rsidRDefault="00721388" w:rsidP="0043597D">
            <w:pPr>
              <w:tabs>
                <w:tab w:val="left" w:pos="176"/>
              </w:tabs>
              <w:suppressAutoHyphen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w:t>
            </w:r>
            <w:r w:rsidRPr="0009657C">
              <w:rPr>
                <w:rFonts w:ascii="CorpoS" w:hAnsi="CorpoS"/>
                <w:i/>
                <w:sz w:val="22"/>
                <w:szCs w:val="22"/>
                <w:lang w:val="en-US"/>
              </w:rPr>
              <w:t xml:space="preserve"> OEM</w:t>
            </w:r>
            <w:r>
              <w:rPr>
                <w:rFonts w:ascii="CorpoS" w:hAnsi="CorpoS"/>
                <w:i/>
                <w:sz w:val="22"/>
                <w:szCs w:val="22"/>
                <w:lang w:val="en-US"/>
              </w:rPr>
              <w:t xml:space="preserve"> business</w:t>
            </w:r>
          </w:p>
        </w:tc>
        <w:tc>
          <w:tcPr>
            <w:tcW w:w="1134" w:type="dxa"/>
            <w:tcBorders>
              <w:left w:val="single" w:sz="4" w:space="0" w:color="auto"/>
              <w:right w:val="single" w:sz="4" w:space="0" w:color="auto"/>
            </w:tcBorders>
            <w:vAlign w:val="center"/>
          </w:tcPr>
          <w:p w14:paraId="5AE5CA56" w14:textId="7A349153"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12.1%</w:t>
            </w:r>
          </w:p>
        </w:tc>
        <w:tc>
          <w:tcPr>
            <w:tcW w:w="1134" w:type="dxa"/>
            <w:tcBorders>
              <w:left w:val="single" w:sz="4" w:space="0" w:color="auto"/>
              <w:right w:val="single" w:sz="18" w:space="0" w:color="auto"/>
            </w:tcBorders>
            <w:vAlign w:val="center"/>
          </w:tcPr>
          <w:p w14:paraId="3C902EAB" w14:textId="1E704AB7"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14.5%</w:t>
            </w:r>
          </w:p>
        </w:tc>
        <w:tc>
          <w:tcPr>
            <w:tcW w:w="1276" w:type="dxa"/>
            <w:tcBorders>
              <w:left w:val="single" w:sz="18" w:space="0" w:color="auto"/>
            </w:tcBorders>
            <w:shd w:val="clear" w:color="auto" w:fill="auto"/>
            <w:vAlign w:val="center"/>
          </w:tcPr>
          <w:p w14:paraId="025B1F68" w14:textId="22AF21C4"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10.3%</w:t>
            </w:r>
          </w:p>
        </w:tc>
        <w:tc>
          <w:tcPr>
            <w:tcW w:w="1276" w:type="dxa"/>
            <w:shd w:val="clear" w:color="auto" w:fill="auto"/>
            <w:vAlign w:val="center"/>
          </w:tcPr>
          <w:p w14:paraId="7CD07E9E" w14:textId="107088FF"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12.6%</w:t>
            </w:r>
          </w:p>
        </w:tc>
        <w:tc>
          <w:tcPr>
            <w:tcW w:w="1418" w:type="dxa"/>
            <w:tcBorders>
              <w:right w:val="single" w:sz="18" w:space="0" w:color="auto"/>
            </w:tcBorders>
            <w:shd w:val="clear" w:color="auto" w:fill="auto"/>
            <w:vAlign w:val="center"/>
          </w:tcPr>
          <w:p w14:paraId="65966930" w14:textId="36C0F50B"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721388" w:rsidRPr="0009657C" w:rsidDel="0033104F" w14:paraId="2E28AEB2" w14:textId="77777777" w:rsidTr="00DE3D5A">
        <w:tc>
          <w:tcPr>
            <w:tcW w:w="3969" w:type="dxa"/>
            <w:tcBorders>
              <w:right w:val="single" w:sz="4" w:space="0" w:color="auto"/>
            </w:tcBorders>
            <w:shd w:val="clear" w:color="auto" w:fill="auto"/>
          </w:tcPr>
          <w:p w14:paraId="116DDC28" w14:textId="1D812B93" w:rsidR="00721388" w:rsidRPr="0009657C" w:rsidRDefault="00721388" w:rsidP="0043597D">
            <w:pPr>
              <w:suppressAutoHyphen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 commercial maintenance</w:t>
            </w:r>
          </w:p>
        </w:tc>
        <w:tc>
          <w:tcPr>
            <w:tcW w:w="1134" w:type="dxa"/>
            <w:tcBorders>
              <w:left w:val="single" w:sz="4" w:space="0" w:color="auto"/>
              <w:right w:val="single" w:sz="4" w:space="0" w:color="auto"/>
            </w:tcBorders>
            <w:vAlign w:val="center"/>
          </w:tcPr>
          <w:p w14:paraId="3EA3A7C0" w14:textId="2AE0A284"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9.9%</w:t>
            </w:r>
          </w:p>
        </w:tc>
        <w:tc>
          <w:tcPr>
            <w:tcW w:w="1134" w:type="dxa"/>
            <w:tcBorders>
              <w:left w:val="single" w:sz="4" w:space="0" w:color="auto"/>
              <w:right w:val="single" w:sz="18" w:space="0" w:color="auto"/>
            </w:tcBorders>
            <w:vAlign w:val="center"/>
          </w:tcPr>
          <w:p w14:paraId="27673396" w14:textId="7255ACB7"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9.4%</w:t>
            </w:r>
          </w:p>
        </w:tc>
        <w:tc>
          <w:tcPr>
            <w:tcW w:w="1276" w:type="dxa"/>
            <w:tcBorders>
              <w:left w:val="single" w:sz="18" w:space="0" w:color="auto"/>
            </w:tcBorders>
            <w:shd w:val="clear" w:color="auto" w:fill="auto"/>
            <w:vAlign w:val="center"/>
          </w:tcPr>
          <w:p w14:paraId="3D32DC3B" w14:textId="61774FA9"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9.8%</w:t>
            </w:r>
          </w:p>
        </w:tc>
        <w:tc>
          <w:tcPr>
            <w:tcW w:w="1276" w:type="dxa"/>
            <w:shd w:val="clear" w:color="auto" w:fill="auto"/>
            <w:vAlign w:val="center"/>
          </w:tcPr>
          <w:p w14:paraId="63379BFF" w14:textId="02311BA4"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9.4%</w:t>
            </w:r>
          </w:p>
        </w:tc>
        <w:tc>
          <w:tcPr>
            <w:tcW w:w="1418" w:type="dxa"/>
            <w:tcBorders>
              <w:right w:val="single" w:sz="18" w:space="0" w:color="auto"/>
            </w:tcBorders>
            <w:shd w:val="clear" w:color="auto" w:fill="auto"/>
            <w:vAlign w:val="center"/>
          </w:tcPr>
          <w:p w14:paraId="67687A4C" w14:textId="3D299D18"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721388" w:rsidRPr="0009657C" w14:paraId="0223D5DF" w14:textId="77777777" w:rsidTr="00DE3D5A">
        <w:tc>
          <w:tcPr>
            <w:tcW w:w="3969" w:type="dxa"/>
            <w:tcBorders>
              <w:right w:val="single" w:sz="4" w:space="0" w:color="auto"/>
            </w:tcBorders>
            <w:shd w:val="clear" w:color="auto" w:fill="auto"/>
          </w:tcPr>
          <w:p w14:paraId="69C2AA85" w14:textId="0C55E51B" w:rsidR="00721388" w:rsidRPr="0009657C" w:rsidRDefault="00721388" w:rsidP="000E7749">
            <w:pPr>
              <w:suppressAutoHyphens/>
              <w:rPr>
                <w:rFonts w:ascii="CorpoS" w:hAnsi="CorpoS"/>
                <w:sz w:val="22"/>
                <w:szCs w:val="22"/>
                <w:lang w:val="en-US"/>
              </w:rPr>
            </w:pPr>
            <w:r w:rsidRPr="0009657C">
              <w:rPr>
                <w:rFonts w:ascii="CorpoS" w:hAnsi="CorpoS"/>
                <w:sz w:val="22"/>
                <w:szCs w:val="22"/>
                <w:lang w:val="en-US"/>
              </w:rPr>
              <w:t xml:space="preserve">Net </w:t>
            </w:r>
            <w:r>
              <w:rPr>
                <w:rFonts w:ascii="CorpoS" w:hAnsi="CorpoS"/>
                <w:sz w:val="22"/>
                <w:szCs w:val="22"/>
                <w:lang w:val="en-US"/>
              </w:rPr>
              <w:t>i</w:t>
            </w:r>
            <w:r w:rsidRPr="0009657C">
              <w:rPr>
                <w:rFonts w:ascii="CorpoS" w:hAnsi="CorpoS"/>
                <w:sz w:val="22"/>
                <w:szCs w:val="22"/>
                <w:lang w:val="en-US"/>
              </w:rPr>
              <w:t>ncome (</w:t>
            </w:r>
            <w:r>
              <w:rPr>
                <w:rFonts w:ascii="CorpoS" w:hAnsi="CorpoS"/>
                <w:sz w:val="22"/>
                <w:szCs w:val="22"/>
                <w:lang w:val="en-US"/>
              </w:rPr>
              <w:t>adjusted</w:t>
            </w:r>
            <w:r w:rsidRPr="0009657C">
              <w:rPr>
                <w:rFonts w:ascii="CorpoS" w:hAnsi="CorpoS"/>
                <w:sz w:val="22"/>
                <w:szCs w:val="22"/>
                <w:lang w:val="en-US"/>
              </w:rPr>
              <w:t>)</w:t>
            </w:r>
          </w:p>
        </w:tc>
        <w:tc>
          <w:tcPr>
            <w:tcW w:w="1134" w:type="dxa"/>
            <w:tcBorders>
              <w:left w:val="single" w:sz="4" w:space="0" w:color="auto"/>
              <w:right w:val="single" w:sz="4" w:space="0" w:color="auto"/>
            </w:tcBorders>
            <w:vAlign w:val="center"/>
          </w:tcPr>
          <w:p w14:paraId="6C149192" w14:textId="77872BBA"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84.2</w:t>
            </w:r>
          </w:p>
        </w:tc>
        <w:tc>
          <w:tcPr>
            <w:tcW w:w="1134" w:type="dxa"/>
            <w:tcBorders>
              <w:left w:val="single" w:sz="4" w:space="0" w:color="auto"/>
              <w:right w:val="single" w:sz="18" w:space="0" w:color="auto"/>
            </w:tcBorders>
            <w:vAlign w:val="center"/>
          </w:tcPr>
          <w:p w14:paraId="6C218566" w14:textId="43F1989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97.3</w:t>
            </w:r>
          </w:p>
        </w:tc>
        <w:tc>
          <w:tcPr>
            <w:tcW w:w="1276" w:type="dxa"/>
            <w:tcBorders>
              <w:left w:val="single" w:sz="18" w:space="0" w:color="auto"/>
            </w:tcBorders>
            <w:shd w:val="clear" w:color="auto" w:fill="auto"/>
            <w:vAlign w:val="center"/>
          </w:tcPr>
          <w:p w14:paraId="5D078187" w14:textId="4089268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231.4</w:t>
            </w:r>
          </w:p>
        </w:tc>
        <w:tc>
          <w:tcPr>
            <w:tcW w:w="1276" w:type="dxa"/>
            <w:shd w:val="clear" w:color="auto" w:fill="auto"/>
            <w:vAlign w:val="center"/>
          </w:tcPr>
          <w:p w14:paraId="04011268" w14:textId="41DA7358"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273.4</w:t>
            </w:r>
          </w:p>
        </w:tc>
        <w:tc>
          <w:tcPr>
            <w:tcW w:w="1418" w:type="dxa"/>
            <w:tcBorders>
              <w:right w:val="single" w:sz="18" w:space="0" w:color="auto"/>
            </w:tcBorders>
            <w:shd w:val="clear" w:color="auto" w:fill="auto"/>
            <w:vAlign w:val="center"/>
          </w:tcPr>
          <w:p w14:paraId="382BC4A6" w14:textId="1C3404B2"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+ 18.2%</w:t>
            </w:r>
          </w:p>
        </w:tc>
      </w:tr>
      <w:tr w:rsidR="00721388" w:rsidRPr="0009657C" w14:paraId="0FEB8CA4" w14:textId="77777777" w:rsidTr="00DE3D5A">
        <w:tc>
          <w:tcPr>
            <w:tcW w:w="3969" w:type="dxa"/>
            <w:tcBorders>
              <w:right w:val="single" w:sz="4" w:space="0" w:color="auto"/>
            </w:tcBorders>
            <w:shd w:val="clear" w:color="auto" w:fill="auto"/>
          </w:tcPr>
          <w:p w14:paraId="33D07D04" w14:textId="07C0ECA2" w:rsidR="00721388" w:rsidRPr="0009657C" w:rsidRDefault="00721388" w:rsidP="000E7749">
            <w:pPr>
              <w:suppressAutoHyphens/>
              <w:rPr>
                <w:rFonts w:ascii="CorpoS" w:hAnsi="CorpoS"/>
                <w:sz w:val="22"/>
                <w:szCs w:val="22"/>
                <w:lang w:val="en-US"/>
              </w:rPr>
            </w:pPr>
            <w:r>
              <w:rPr>
                <w:rFonts w:ascii="CorpoS" w:hAnsi="CorpoS"/>
                <w:sz w:val="22"/>
                <w:szCs w:val="22"/>
                <w:lang w:val="en-US"/>
              </w:rPr>
              <w:t>Net i</w:t>
            </w:r>
            <w:r w:rsidRPr="0009657C">
              <w:rPr>
                <w:rFonts w:ascii="CorpoS" w:hAnsi="CorpoS"/>
                <w:sz w:val="22"/>
                <w:szCs w:val="22"/>
                <w:lang w:val="en-US"/>
              </w:rPr>
              <w:t>ncome (reported)</w:t>
            </w:r>
          </w:p>
        </w:tc>
        <w:tc>
          <w:tcPr>
            <w:tcW w:w="1134" w:type="dxa"/>
            <w:tcBorders>
              <w:left w:val="single" w:sz="4" w:space="0" w:color="auto"/>
              <w:right w:val="single" w:sz="4" w:space="0" w:color="auto"/>
            </w:tcBorders>
            <w:vAlign w:val="center"/>
          </w:tcPr>
          <w:p w14:paraId="6058D45A" w14:textId="74FC06B3"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47.8</w:t>
            </w:r>
          </w:p>
        </w:tc>
        <w:tc>
          <w:tcPr>
            <w:tcW w:w="1134" w:type="dxa"/>
            <w:tcBorders>
              <w:left w:val="single" w:sz="4" w:space="0" w:color="auto"/>
              <w:right w:val="single" w:sz="18" w:space="0" w:color="auto"/>
            </w:tcBorders>
            <w:vAlign w:val="center"/>
          </w:tcPr>
          <w:p w14:paraId="4AD75FA1" w14:textId="4533F15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83.8</w:t>
            </w:r>
          </w:p>
        </w:tc>
        <w:tc>
          <w:tcPr>
            <w:tcW w:w="1276" w:type="dxa"/>
            <w:tcBorders>
              <w:left w:val="single" w:sz="18" w:space="0" w:color="auto"/>
            </w:tcBorders>
            <w:shd w:val="clear" w:color="auto" w:fill="auto"/>
            <w:vAlign w:val="center"/>
          </w:tcPr>
          <w:p w14:paraId="437C82A6" w14:textId="349431D2"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151.8</w:t>
            </w:r>
          </w:p>
        </w:tc>
        <w:tc>
          <w:tcPr>
            <w:tcW w:w="1276" w:type="dxa"/>
            <w:shd w:val="clear" w:color="auto" w:fill="auto"/>
            <w:vAlign w:val="center"/>
          </w:tcPr>
          <w:p w14:paraId="1AACE802" w14:textId="4B38A52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242.4</w:t>
            </w:r>
          </w:p>
        </w:tc>
        <w:tc>
          <w:tcPr>
            <w:tcW w:w="1418" w:type="dxa"/>
            <w:tcBorders>
              <w:right w:val="single" w:sz="18" w:space="0" w:color="auto"/>
            </w:tcBorders>
            <w:shd w:val="clear" w:color="auto" w:fill="auto"/>
            <w:vAlign w:val="center"/>
          </w:tcPr>
          <w:p w14:paraId="764D5610" w14:textId="5CF7665F"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+ 59.7%</w:t>
            </w:r>
          </w:p>
        </w:tc>
      </w:tr>
      <w:tr w:rsidR="00721388" w:rsidRPr="0009657C" w14:paraId="05DBDE09" w14:textId="77777777" w:rsidTr="00DE3D5A">
        <w:tc>
          <w:tcPr>
            <w:tcW w:w="3969" w:type="dxa"/>
            <w:tcBorders>
              <w:right w:val="single" w:sz="4" w:space="0" w:color="auto"/>
            </w:tcBorders>
            <w:shd w:val="clear" w:color="auto" w:fill="auto"/>
          </w:tcPr>
          <w:p w14:paraId="5A7F278C" w14:textId="359D5B3D" w:rsidR="00721388" w:rsidRPr="0009657C" w:rsidRDefault="00721388" w:rsidP="000E7749">
            <w:pPr>
              <w:suppressAutoHyphens/>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arnings per share</w:t>
            </w:r>
            <w:r w:rsidRPr="0009657C">
              <w:rPr>
                <w:rFonts w:ascii="CorpoS" w:hAnsi="CorpoS"/>
                <w:sz w:val="22"/>
                <w:szCs w:val="22"/>
                <w:lang w:val="en-US"/>
              </w:rPr>
              <w:t xml:space="preserve"> (un</w:t>
            </w:r>
            <w:r>
              <w:rPr>
                <w:rFonts w:ascii="CorpoS" w:hAnsi="CorpoS"/>
                <w:sz w:val="22"/>
                <w:szCs w:val="22"/>
                <w:lang w:val="en-US"/>
              </w:rPr>
              <w:t>diluted</w:t>
            </w:r>
            <w:r w:rsidRPr="0009657C">
              <w:rPr>
                <w:rFonts w:ascii="CorpoS" w:hAnsi="CorpoS"/>
                <w:sz w:val="22"/>
                <w:szCs w:val="22"/>
                <w:lang w:val="en-US"/>
              </w:rPr>
              <w:t>, reported)</w:t>
            </w:r>
          </w:p>
        </w:tc>
        <w:tc>
          <w:tcPr>
            <w:tcW w:w="1134" w:type="dxa"/>
            <w:tcBorders>
              <w:left w:val="single" w:sz="4" w:space="0" w:color="auto"/>
              <w:right w:val="single" w:sz="4" w:space="0" w:color="auto"/>
            </w:tcBorders>
            <w:vAlign w:val="center"/>
          </w:tcPr>
          <w:p w14:paraId="5B1D19FF" w14:textId="61D7181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0.93</w:t>
            </w:r>
          </w:p>
        </w:tc>
        <w:tc>
          <w:tcPr>
            <w:tcW w:w="1134" w:type="dxa"/>
            <w:tcBorders>
              <w:left w:val="single" w:sz="4" w:space="0" w:color="auto"/>
              <w:right w:val="single" w:sz="18" w:space="0" w:color="auto"/>
            </w:tcBorders>
            <w:vAlign w:val="center"/>
          </w:tcPr>
          <w:p w14:paraId="067B3A4F" w14:textId="02328FA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1.63</w:t>
            </w:r>
          </w:p>
        </w:tc>
        <w:tc>
          <w:tcPr>
            <w:tcW w:w="1276" w:type="dxa"/>
            <w:tcBorders>
              <w:left w:val="single" w:sz="18" w:space="0" w:color="auto"/>
            </w:tcBorders>
            <w:shd w:val="clear" w:color="auto" w:fill="auto"/>
            <w:vAlign w:val="center"/>
          </w:tcPr>
          <w:p w14:paraId="4078A70A" w14:textId="062554A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2.97</w:t>
            </w:r>
          </w:p>
        </w:tc>
        <w:tc>
          <w:tcPr>
            <w:tcW w:w="1276" w:type="dxa"/>
            <w:shd w:val="clear" w:color="auto" w:fill="auto"/>
            <w:vAlign w:val="center"/>
          </w:tcPr>
          <w:p w14:paraId="6FAD0944" w14:textId="0C82804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4.73</w:t>
            </w:r>
          </w:p>
        </w:tc>
        <w:tc>
          <w:tcPr>
            <w:tcW w:w="1418" w:type="dxa"/>
            <w:tcBorders>
              <w:right w:val="single" w:sz="18" w:space="0" w:color="auto"/>
            </w:tcBorders>
            <w:shd w:val="clear" w:color="auto" w:fill="auto"/>
            <w:vAlign w:val="center"/>
          </w:tcPr>
          <w:p w14:paraId="5C495F5A" w14:textId="3A88626D"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+ 59.3%</w:t>
            </w:r>
          </w:p>
        </w:tc>
      </w:tr>
      <w:tr w:rsidR="00721388" w:rsidRPr="0009657C" w14:paraId="7A46D407" w14:textId="77777777" w:rsidTr="00DE3D5A">
        <w:tc>
          <w:tcPr>
            <w:tcW w:w="3969" w:type="dxa"/>
            <w:tcBorders>
              <w:right w:val="single" w:sz="4" w:space="0" w:color="auto"/>
            </w:tcBorders>
            <w:shd w:val="clear" w:color="auto" w:fill="auto"/>
          </w:tcPr>
          <w:p w14:paraId="5EE1A6AE" w14:textId="5F260204" w:rsidR="00721388" w:rsidRPr="0009657C" w:rsidRDefault="00721388" w:rsidP="000E7749">
            <w:pPr>
              <w:suppressAutoHyphens/>
              <w:rPr>
                <w:rFonts w:ascii="CorpoS" w:hAnsi="CorpoS"/>
                <w:sz w:val="22"/>
                <w:szCs w:val="22"/>
                <w:lang w:val="en-US"/>
              </w:rPr>
            </w:pPr>
            <w:r w:rsidRPr="0009657C">
              <w:rPr>
                <w:rFonts w:ascii="CorpoS" w:hAnsi="CorpoS"/>
                <w:sz w:val="22"/>
                <w:szCs w:val="22"/>
                <w:lang w:val="en-US"/>
              </w:rPr>
              <w:t xml:space="preserve">Free </w:t>
            </w:r>
            <w:r>
              <w:rPr>
                <w:rFonts w:ascii="CorpoS" w:hAnsi="CorpoS"/>
                <w:sz w:val="22"/>
                <w:szCs w:val="22"/>
                <w:lang w:val="en-US"/>
              </w:rPr>
              <w:t>c</w:t>
            </w:r>
            <w:r w:rsidRPr="0009657C">
              <w:rPr>
                <w:rFonts w:ascii="CorpoS" w:hAnsi="CorpoS"/>
                <w:sz w:val="22"/>
                <w:szCs w:val="22"/>
                <w:lang w:val="en-US"/>
              </w:rPr>
              <w:t>ash</w:t>
            </w:r>
            <w:r>
              <w:rPr>
                <w:rFonts w:ascii="CorpoS" w:hAnsi="CorpoS"/>
                <w:sz w:val="22"/>
                <w:szCs w:val="22"/>
                <w:lang w:val="en-US"/>
              </w:rPr>
              <w:t xml:space="preserve"> </w:t>
            </w:r>
            <w:r w:rsidRPr="0009657C">
              <w:rPr>
                <w:rFonts w:ascii="CorpoS" w:hAnsi="CorpoS"/>
                <w:sz w:val="22"/>
                <w:szCs w:val="22"/>
                <w:lang w:val="en-US"/>
              </w:rPr>
              <w:t>flow</w:t>
            </w:r>
          </w:p>
        </w:tc>
        <w:tc>
          <w:tcPr>
            <w:tcW w:w="1134" w:type="dxa"/>
            <w:tcBorders>
              <w:left w:val="single" w:sz="4" w:space="0" w:color="auto"/>
              <w:right w:val="single" w:sz="4" w:space="0" w:color="auto"/>
            </w:tcBorders>
            <w:vAlign w:val="center"/>
          </w:tcPr>
          <w:p w14:paraId="11C44FE2" w14:textId="3D6C082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32.7</w:t>
            </w:r>
          </w:p>
        </w:tc>
        <w:tc>
          <w:tcPr>
            <w:tcW w:w="1134" w:type="dxa"/>
            <w:tcBorders>
              <w:left w:val="single" w:sz="4" w:space="0" w:color="auto"/>
              <w:right w:val="single" w:sz="18" w:space="0" w:color="auto"/>
            </w:tcBorders>
            <w:vAlign w:val="center"/>
          </w:tcPr>
          <w:p w14:paraId="33394F71" w14:textId="19FB345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5.2</w:t>
            </w:r>
          </w:p>
        </w:tc>
        <w:tc>
          <w:tcPr>
            <w:tcW w:w="1276" w:type="dxa"/>
            <w:tcBorders>
              <w:left w:val="single" w:sz="18" w:space="0" w:color="auto"/>
            </w:tcBorders>
            <w:shd w:val="clear" w:color="auto" w:fill="auto"/>
            <w:vAlign w:val="center"/>
          </w:tcPr>
          <w:p w14:paraId="38A980B0" w14:textId="14F4BF40"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119.4</w:t>
            </w:r>
          </w:p>
        </w:tc>
        <w:tc>
          <w:tcPr>
            <w:tcW w:w="1276" w:type="dxa"/>
            <w:shd w:val="clear" w:color="auto" w:fill="auto"/>
            <w:vAlign w:val="center"/>
          </w:tcPr>
          <w:p w14:paraId="59BAA339" w14:textId="6757DB1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75.0</w:t>
            </w:r>
          </w:p>
        </w:tc>
        <w:tc>
          <w:tcPr>
            <w:tcW w:w="1418" w:type="dxa"/>
            <w:tcBorders>
              <w:right w:val="single" w:sz="18" w:space="0" w:color="auto"/>
            </w:tcBorders>
            <w:shd w:val="clear" w:color="auto" w:fill="auto"/>
            <w:vAlign w:val="center"/>
          </w:tcPr>
          <w:p w14:paraId="68149FE4" w14:textId="09FEA372"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- 37.2%</w:t>
            </w:r>
          </w:p>
        </w:tc>
      </w:tr>
      <w:tr w:rsidR="00721388" w:rsidRPr="0009657C" w14:paraId="21FB6ACD" w14:textId="77777777" w:rsidTr="00DE3D5A">
        <w:tc>
          <w:tcPr>
            <w:tcW w:w="3969" w:type="dxa"/>
            <w:tcBorders>
              <w:right w:val="single" w:sz="4" w:space="0" w:color="auto"/>
            </w:tcBorders>
            <w:shd w:val="clear" w:color="auto" w:fill="auto"/>
          </w:tcPr>
          <w:p w14:paraId="0A410775" w14:textId="31FCDD09" w:rsidR="00721388" w:rsidRPr="0009657C" w:rsidRDefault="00721388" w:rsidP="00642B7E">
            <w:pPr>
              <w:suppressAutoHyphens/>
              <w:rPr>
                <w:rFonts w:ascii="CorpoS" w:hAnsi="CorpoS"/>
                <w:sz w:val="22"/>
                <w:szCs w:val="22"/>
                <w:lang w:val="en-US"/>
              </w:rPr>
            </w:pPr>
            <w:r>
              <w:rPr>
                <w:rFonts w:ascii="CorpoS" w:hAnsi="CorpoS"/>
                <w:sz w:val="22"/>
                <w:szCs w:val="22"/>
                <w:lang w:val="en-US"/>
              </w:rPr>
              <w:t>Research and development expen</w:t>
            </w:r>
            <w:r w:rsidR="00642B7E">
              <w:rPr>
                <w:rFonts w:ascii="CorpoS" w:hAnsi="CorpoS"/>
                <w:sz w:val="22"/>
                <w:szCs w:val="22"/>
                <w:lang w:val="en-US"/>
              </w:rPr>
              <w:t>ses</w:t>
            </w:r>
          </w:p>
        </w:tc>
        <w:tc>
          <w:tcPr>
            <w:tcW w:w="1134" w:type="dxa"/>
            <w:tcBorders>
              <w:left w:val="single" w:sz="4" w:space="0" w:color="auto"/>
              <w:right w:val="single" w:sz="4" w:space="0" w:color="auto"/>
            </w:tcBorders>
            <w:vAlign w:val="center"/>
          </w:tcPr>
          <w:p w14:paraId="7BC7D12B" w14:textId="60110A51"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53.8</w:t>
            </w:r>
          </w:p>
        </w:tc>
        <w:tc>
          <w:tcPr>
            <w:tcW w:w="1134" w:type="dxa"/>
            <w:tcBorders>
              <w:left w:val="single" w:sz="4" w:space="0" w:color="auto"/>
              <w:right w:val="single" w:sz="18" w:space="0" w:color="auto"/>
            </w:tcBorders>
            <w:vAlign w:val="center"/>
          </w:tcPr>
          <w:p w14:paraId="3BB04B45" w14:textId="23EB5DC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44.3</w:t>
            </w:r>
          </w:p>
        </w:tc>
        <w:tc>
          <w:tcPr>
            <w:tcW w:w="1276" w:type="dxa"/>
            <w:tcBorders>
              <w:left w:val="single" w:sz="18" w:space="0" w:color="auto"/>
            </w:tcBorders>
            <w:shd w:val="clear" w:color="auto" w:fill="auto"/>
            <w:vAlign w:val="center"/>
          </w:tcPr>
          <w:p w14:paraId="7544583A" w14:textId="56ECE441"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155.8</w:t>
            </w:r>
          </w:p>
        </w:tc>
        <w:tc>
          <w:tcPr>
            <w:tcW w:w="1276" w:type="dxa"/>
            <w:shd w:val="clear" w:color="auto" w:fill="auto"/>
            <w:vAlign w:val="center"/>
          </w:tcPr>
          <w:p w14:paraId="59F991D2" w14:textId="0C525B5A"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157.9</w:t>
            </w:r>
          </w:p>
        </w:tc>
        <w:tc>
          <w:tcPr>
            <w:tcW w:w="1418" w:type="dxa"/>
            <w:tcBorders>
              <w:right w:val="single" w:sz="18" w:space="0" w:color="auto"/>
            </w:tcBorders>
            <w:shd w:val="clear" w:color="auto" w:fill="auto"/>
            <w:vAlign w:val="center"/>
          </w:tcPr>
          <w:p w14:paraId="565BFCBB" w14:textId="54B94237"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+ 1.3%</w:t>
            </w:r>
          </w:p>
        </w:tc>
      </w:tr>
      <w:tr w:rsidR="00721388" w:rsidRPr="0009657C" w14:paraId="030656A7" w14:textId="77777777" w:rsidTr="00DE3D5A">
        <w:tc>
          <w:tcPr>
            <w:tcW w:w="3969" w:type="dxa"/>
            <w:tcBorders>
              <w:right w:val="single" w:sz="4" w:space="0" w:color="auto"/>
            </w:tcBorders>
            <w:shd w:val="clear" w:color="auto" w:fill="auto"/>
          </w:tcPr>
          <w:p w14:paraId="453CFE48" w14:textId="7F716CFB" w:rsidR="00721388" w:rsidRPr="0009657C" w:rsidRDefault="00721388" w:rsidP="0043597D">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company-funded </w:t>
            </w:r>
          </w:p>
        </w:tc>
        <w:tc>
          <w:tcPr>
            <w:tcW w:w="1134" w:type="dxa"/>
            <w:tcBorders>
              <w:left w:val="single" w:sz="4" w:space="0" w:color="auto"/>
              <w:right w:val="single" w:sz="4" w:space="0" w:color="auto"/>
            </w:tcBorders>
            <w:vAlign w:val="center"/>
          </w:tcPr>
          <w:p w14:paraId="4FF3F8C1" w14:textId="4CBA55F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45.8</w:t>
            </w:r>
          </w:p>
        </w:tc>
        <w:tc>
          <w:tcPr>
            <w:tcW w:w="1134" w:type="dxa"/>
            <w:tcBorders>
              <w:left w:val="single" w:sz="4" w:space="0" w:color="auto"/>
              <w:right w:val="single" w:sz="18" w:space="0" w:color="auto"/>
            </w:tcBorders>
            <w:vAlign w:val="center"/>
          </w:tcPr>
          <w:p w14:paraId="5D9AF3D4" w14:textId="2BBA505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35.9</w:t>
            </w:r>
          </w:p>
        </w:tc>
        <w:tc>
          <w:tcPr>
            <w:tcW w:w="1276" w:type="dxa"/>
            <w:tcBorders>
              <w:left w:val="single" w:sz="18" w:space="0" w:color="auto"/>
            </w:tcBorders>
            <w:shd w:val="clear" w:color="auto" w:fill="auto"/>
            <w:vAlign w:val="center"/>
          </w:tcPr>
          <w:p w14:paraId="1C89058D" w14:textId="2D5C5F92"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124.9</w:t>
            </w:r>
          </w:p>
        </w:tc>
        <w:tc>
          <w:tcPr>
            <w:tcW w:w="1276" w:type="dxa"/>
            <w:shd w:val="clear" w:color="auto" w:fill="auto"/>
            <w:vAlign w:val="center"/>
          </w:tcPr>
          <w:p w14:paraId="4FA6BD86" w14:textId="4ED834FF"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127.1</w:t>
            </w:r>
          </w:p>
        </w:tc>
        <w:tc>
          <w:tcPr>
            <w:tcW w:w="1418" w:type="dxa"/>
            <w:tcBorders>
              <w:right w:val="single" w:sz="18" w:space="0" w:color="auto"/>
            </w:tcBorders>
            <w:shd w:val="clear" w:color="auto" w:fill="auto"/>
            <w:vAlign w:val="center"/>
          </w:tcPr>
          <w:p w14:paraId="4AC1AC93" w14:textId="1DD5C6C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+ 1.8%</w:t>
            </w:r>
          </w:p>
        </w:tc>
      </w:tr>
      <w:tr w:rsidR="00721388" w:rsidRPr="0009657C" w14:paraId="1F4A7E32" w14:textId="77777777" w:rsidTr="00DE3D5A">
        <w:tc>
          <w:tcPr>
            <w:tcW w:w="3969" w:type="dxa"/>
            <w:tcBorders>
              <w:bottom w:val="single" w:sz="4" w:space="0" w:color="auto"/>
              <w:right w:val="single" w:sz="4" w:space="0" w:color="auto"/>
            </w:tcBorders>
            <w:shd w:val="clear" w:color="auto" w:fill="auto"/>
          </w:tcPr>
          <w:p w14:paraId="2536F094" w14:textId="00F84350" w:rsidR="00721388" w:rsidRPr="0009657C" w:rsidRDefault="00721388" w:rsidP="00642B7E">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00642B7E">
              <w:rPr>
                <w:rFonts w:ascii="CorpoS" w:hAnsi="CorpoS"/>
                <w:sz w:val="22"/>
                <w:szCs w:val="22"/>
                <w:lang w:val="en-US"/>
              </w:rPr>
              <w:t>outside</w:t>
            </w:r>
            <w:r>
              <w:rPr>
                <w:rFonts w:ascii="CorpoS" w:hAnsi="CorpoS"/>
                <w:sz w:val="22"/>
                <w:szCs w:val="22"/>
                <w:lang w:val="en-US"/>
              </w:rPr>
              <w:t xml:space="preserve">-funded </w:t>
            </w:r>
          </w:p>
        </w:tc>
        <w:tc>
          <w:tcPr>
            <w:tcW w:w="1134" w:type="dxa"/>
            <w:tcBorders>
              <w:left w:val="single" w:sz="4" w:space="0" w:color="auto"/>
              <w:bottom w:val="single" w:sz="4" w:space="0" w:color="auto"/>
              <w:right w:val="single" w:sz="4" w:space="0" w:color="auto"/>
            </w:tcBorders>
            <w:vAlign w:val="center"/>
          </w:tcPr>
          <w:p w14:paraId="47B8222D" w14:textId="4D08EC7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8.0</w:t>
            </w:r>
          </w:p>
        </w:tc>
        <w:tc>
          <w:tcPr>
            <w:tcW w:w="1134" w:type="dxa"/>
            <w:tcBorders>
              <w:left w:val="single" w:sz="4" w:space="0" w:color="auto"/>
              <w:bottom w:val="single" w:sz="4" w:space="0" w:color="auto"/>
              <w:right w:val="single" w:sz="18" w:space="0" w:color="auto"/>
            </w:tcBorders>
            <w:vAlign w:val="center"/>
          </w:tcPr>
          <w:p w14:paraId="7E0402F8" w14:textId="18D3E25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8.4</w:t>
            </w:r>
          </w:p>
        </w:tc>
        <w:tc>
          <w:tcPr>
            <w:tcW w:w="1276" w:type="dxa"/>
            <w:tcBorders>
              <w:left w:val="single" w:sz="18" w:space="0" w:color="auto"/>
              <w:bottom w:val="single" w:sz="4" w:space="0" w:color="auto"/>
            </w:tcBorders>
            <w:shd w:val="clear" w:color="auto" w:fill="auto"/>
            <w:vAlign w:val="center"/>
          </w:tcPr>
          <w:p w14:paraId="7AF2D023" w14:textId="51E6402D"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30.9</w:t>
            </w:r>
          </w:p>
        </w:tc>
        <w:tc>
          <w:tcPr>
            <w:tcW w:w="1276" w:type="dxa"/>
            <w:tcBorders>
              <w:bottom w:val="single" w:sz="4" w:space="0" w:color="auto"/>
            </w:tcBorders>
            <w:shd w:val="clear" w:color="auto" w:fill="auto"/>
            <w:vAlign w:val="center"/>
          </w:tcPr>
          <w:p w14:paraId="5027CC38" w14:textId="65FB2D66"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30.8</w:t>
            </w:r>
          </w:p>
        </w:tc>
        <w:tc>
          <w:tcPr>
            <w:tcW w:w="1418" w:type="dxa"/>
            <w:tcBorders>
              <w:bottom w:val="single" w:sz="4" w:space="0" w:color="auto"/>
              <w:right w:val="single" w:sz="18" w:space="0" w:color="auto"/>
            </w:tcBorders>
            <w:shd w:val="clear" w:color="auto" w:fill="auto"/>
            <w:vAlign w:val="center"/>
          </w:tcPr>
          <w:p w14:paraId="21D263C7" w14:textId="6358CE0C"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- 0.3%</w:t>
            </w:r>
          </w:p>
        </w:tc>
      </w:tr>
      <w:tr w:rsidR="00721388" w:rsidRPr="0009657C" w14:paraId="45C3DDE3" w14:textId="77777777" w:rsidTr="00DE3D5A">
        <w:tc>
          <w:tcPr>
            <w:tcW w:w="3969" w:type="dxa"/>
            <w:tcBorders>
              <w:right w:val="single" w:sz="4" w:space="0" w:color="auto"/>
            </w:tcBorders>
            <w:shd w:val="clear" w:color="auto" w:fill="auto"/>
          </w:tcPr>
          <w:p w14:paraId="07D800C9" w14:textId="47BBD914" w:rsidR="00721388" w:rsidRPr="0009657C" w:rsidRDefault="00721388" w:rsidP="0043597D">
            <w:pPr>
              <w:suppressAutoHyphens/>
              <w:rPr>
                <w:rFonts w:ascii="CorpoS" w:hAnsi="CorpoS"/>
                <w:sz w:val="22"/>
                <w:szCs w:val="22"/>
                <w:lang w:val="en-US"/>
              </w:rPr>
            </w:pPr>
            <w:r>
              <w:rPr>
                <w:rFonts w:ascii="CorpoS" w:hAnsi="CorpoS"/>
                <w:i/>
                <w:sz w:val="22"/>
                <w:szCs w:val="22"/>
                <w:lang w:val="en-US"/>
              </w:rPr>
              <w:t>Company-funded R&amp;D expenditure</w:t>
            </w:r>
          </w:p>
        </w:tc>
        <w:tc>
          <w:tcPr>
            <w:tcW w:w="1134" w:type="dxa"/>
            <w:tcBorders>
              <w:left w:val="single" w:sz="4" w:space="0" w:color="auto"/>
              <w:right w:val="single" w:sz="4" w:space="0" w:color="auto"/>
            </w:tcBorders>
            <w:vAlign w:val="center"/>
          </w:tcPr>
          <w:p w14:paraId="04A2D07A" w14:textId="6B085743"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21.9</w:t>
            </w:r>
          </w:p>
        </w:tc>
        <w:tc>
          <w:tcPr>
            <w:tcW w:w="1134" w:type="dxa"/>
            <w:tcBorders>
              <w:left w:val="single" w:sz="4" w:space="0" w:color="auto"/>
              <w:right w:val="single" w:sz="18" w:space="0" w:color="auto"/>
            </w:tcBorders>
            <w:vAlign w:val="center"/>
          </w:tcPr>
          <w:p w14:paraId="7524874C" w14:textId="74CA0505"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14.6</w:t>
            </w:r>
          </w:p>
        </w:tc>
        <w:tc>
          <w:tcPr>
            <w:tcW w:w="1276" w:type="dxa"/>
            <w:tcBorders>
              <w:left w:val="single" w:sz="18" w:space="0" w:color="auto"/>
              <w:bottom w:val="single" w:sz="4" w:space="0" w:color="auto"/>
            </w:tcBorders>
            <w:shd w:val="clear" w:color="auto" w:fill="auto"/>
            <w:vAlign w:val="center"/>
          </w:tcPr>
          <w:p w14:paraId="15676A8B" w14:textId="40B70D86"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46.2</w:t>
            </w:r>
          </w:p>
        </w:tc>
        <w:tc>
          <w:tcPr>
            <w:tcW w:w="1276" w:type="dxa"/>
            <w:tcBorders>
              <w:bottom w:val="single" w:sz="4" w:space="0" w:color="auto"/>
            </w:tcBorders>
            <w:shd w:val="clear" w:color="auto" w:fill="auto"/>
            <w:vAlign w:val="center"/>
          </w:tcPr>
          <w:p w14:paraId="3B6F1AC2" w14:textId="02CE5332"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53.1</w:t>
            </w:r>
          </w:p>
        </w:tc>
        <w:tc>
          <w:tcPr>
            <w:tcW w:w="1418" w:type="dxa"/>
            <w:tcBorders>
              <w:bottom w:val="single" w:sz="4" w:space="0" w:color="auto"/>
              <w:right w:val="single" w:sz="18" w:space="0" w:color="auto"/>
            </w:tcBorders>
            <w:shd w:val="clear" w:color="auto" w:fill="auto"/>
            <w:vAlign w:val="center"/>
          </w:tcPr>
          <w:p w14:paraId="30624A29" w14:textId="5FC357B9" w:rsidR="00721388" w:rsidRPr="0009657C" w:rsidRDefault="00721388" w:rsidP="000E7749">
            <w:pPr>
              <w:suppressAutoHyphens/>
              <w:ind w:firstLineChars="100" w:firstLine="220"/>
              <w:jc w:val="right"/>
              <w:rPr>
                <w:rFonts w:ascii="CorpoS" w:hAnsi="CorpoS" w:cs="Arial"/>
                <w:i/>
                <w:iCs/>
                <w:sz w:val="22"/>
                <w:szCs w:val="22"/>
                <w:lang w:val="en-US"/>
              </w:rPr>
            </w:pPr>
            <w:r>
              <w:rPr>
                <w:rFonts w:ascii="CorpoS" w:hAnsi="CorpoS" w:cs="Arial"/>
                <w:i/>
                <w:iCs/>
                <w:sz w:val="22"/>
                <w:szCs w:val="22"/>
              </w:rPr>
              <w:t>+ 14.9%</w:t>
            </w:r>
          </w:p>
        </w:tc>
      </w:tr>
      <w:tr w:rsidR="00721388" w:rsidRPr="0009657C" w14:paraId="5B07F5C0" w14:textId="77777777" w:rsidTr="00DE3D5A">
        <w:tc>
          <w:tcPr>
            <w:tcW w:w="3969" w:type="dxa"/>
            <w:tcBorders>
              <w:right w:val="single" w:sz="4" w:space="0" w:color="auto"/>
            </w:tcBorders>
            <w:shd w:val="clear" w:color="auto" w:fill="auto"/>
          </w:tcPr>
          <w:p w14:paraId="062422E3" w14:textId="6EB1F3F0" w:rsidR="00721388" w:rsidRPr="0009657C" w:rsidRDefault="00721388" w:rsidP="000E7749">
            <w:pPr>
              <w:suppressAutoHyphens/>
              <w:rPr>
                <w:rFonts w:ascii="CorpoS" w:hAnsi="CorpoS"/>
                <w:sz w:val="22"/>
                <w:szCs w:val="22"/>
                <w:lang w:val="en-US"/>
              </w:rPr>
            </w:pPr>
            <w:r>
              <w:rPr>
                <w:rFonts w:ascii="CorpoS" w:hAnsi="CorpoS"/>
                <w:sz w:val="22"/>
                <w:szCs w:val="22"/>
                <w:lang w:val="en-US"/>
              </w:rPr>
              <w:t>Capital expenditure on property, plant and equipment</w:t>
            </w:r>
            <w:r w:rsidRPr="0009657C">
              <w:rPr>
                <w:rFonts w:ascii="CorpoS" w:hAnsi="CorpoS"/>
                <w:sz w:val="22"/>
                <w:szCs w:val="22"/>
                <w:lang w:val="en-US"/>
              </w:rPr>
              <w:t xml:space="preserve"> (net)</w:t>
            </w:r>
          </w:p>
        </w:tc>
        <w:tc>
          <w:tcPr>
            <w:tcW w:w="1134" w:type="dxa"/>
            <w:tcBorders>
              <w:left w:val="single" w:sz="4" w:space="0" w:color="auto"/>
              <w:right w:val="single" w:sz="4" w:space="0" w:color="auto"/>
            </w:tcBorders>
            <w:vAlign w:val="center"/>
          </w:tcPr>
          <w:p w14:paraId="335B14A4" w14:textId="0DFD916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29.1</w:t>
            </w:r>
          </w:p>
        </w:tc>
        <w:tc>
          <w:tcPr>
            <w:tcW w:w="1134" w:type="dxa"/>
            <w:tcBorders>
              <w:left w:val="single" w:sz="4" w:space="0" w:color="auto"/>
              <w:right w:val="single" w:sz="18" w:space="0" w:color="auto"/>
            </w:tcBorders>
            <w:vAlign w:val="center"/>
          </w:tcPr>
          <w:p w14:paraId="48339791" w14:textId="29A19D2E"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32.3</w:t>
            </w:r>
          </w:p>
        </w:tc>
        <w:tc>
          <w:tcPr>
            <w:tcW w:w="1276" w:type="dxa"/>
            <w:tcBorders>
              <w:left w:val="single" w:sz="18" w:space="0" w:color="auto"/>
              <w:bottom w:val="single" w:sz="4" w:space="0" w:color="auto"/>
            </w:tcBorders>
            <w:shd w:val="clear" w:color="auto" w:fill="auto"/>
            <w:vAlign w:val="center"/>
          </w:tcPr>
          <w:p w14:paraId="7E4A7428" w14:textId="67CB4637"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65.2</w:t>
            </w:r>
          </w:p>
        </w:tc>
        <w:tc>
          <w:tcPr>
            <w:tcW w:w="1276" w:type="dxa"/>
            <w:tcBorders>
              <w:bottom w:val="single" w:sz="4" w:space="0" w:color="auto"/>
            </w:tcBorders>
            <w:shd w:val="clear" w:color="auto" w:fill="auto"/>
            <w:vAlign w:val="center"/>
          </w:tcPr>
          <w:p w14:paraId="0957249C" w14:textId="5F9E856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91.5</w:t>
            </w:r>
          </w:p>
        </w:tc>
        <w:tc>
          <w:tcPr>
            <w:tcW w:w="1418" w:type="dxa"/>
            <w:tcBorders>
              <w:bottom w:val="single" w:sz="4" w:space="0" w:color="auto"/>
              <w:right w:val="single" w:sz="18" w:space="0" w:color="auto"/>
            </w:tcBorders>
            <w:shd w:val="clear" w:color="auto" w:fill="auto"/>
            <w:vAlign w:val="center"/>
          </w:tcPr>
          <w:p w14:paraId="6F2434BC" w14:textId="50DEE10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+ 40.3%</w:t>
            </w:r>
          </w:p>
        </w:tc>
      </w:tr>
      <w:tr w:rsidR="00511729" w:rsidRPr="0009657C" w14:paraId="46DA897E" w14:textId="77777777" w:rsidTr="00DE3D5A">
        <w:trPr>
          <w:trHeight w:val="81"/>
        </w:trPr>
        <w:tc>
          <w:tcPr>
            <w:tcW w:w="6237" w:type="dxa"/>
            <w:gridSpan w:val="3"/>
            <w:tcBorders>
              <w:right w:val="single" w:sz="18" w:space="0" w:color="auto"/>
            </w:tcBorders>
            <w:shd w:val="clear" w:color="auto" w:fill="auto"/>
          </w:tcPr>
          <w:p w14:paraId="5B6B9E7D" w14:textId="77777777" w:rsidR="00511729" w:rsidRPr="0009657C" w:rsidRDefault="00511729" w:rsidP="000E7749">
            <w:pPr>
              <w:suppressAutoHyphens/>
              <w:jc w:val="right"/>
              <w:rPr>
                <w:rFonts w:ascii="CorpoS" w:hAnsi="CorpoS"/>
                <w:b/>
                <w:sz w:val="8"/>
                <w:szCs w:val="8"/>
                <w:lang w:val="en-US"/>
              </w:rPr>
            </w:pPr>
          </w:p>
        </w:tc>
        <w:tc>
          <w:tcPr>
            <w:tcW w:w="3970" w:type="dxa"/>
            <w:gridSpan w:val="3"/>
            <w:tcBorders>
              <w:left w:val="single" w:sz="18" w:space="0" w:color="auto"/>
              <w:bottom w:val="single" w:sz="4" w:space="0" w:color="auto"/>
              <w:right w:val="single" w:sz="18" w:space="0" w:color="auto"/>
            </w:tcBorders>
            <w:shd w:val="clear" w:color="auto" w:fill="auto"/>
          </w:tcPr>
          <w:p w14:paraId="4AAC1626" w14:textId="77777777" w:rsidR="00511729" w:rsidRPr="0009657C" w:rsidRDefault="00511729" w:rsidP="000E7749">
            <w:pPr>
              <w:suppressAutoHyphens/>
              <w:ind w:right="33"/>
              <w:jc w:val="right"/>
              <w:rPr>
                <w:rFonts w:ascii="CorpoS" w:hAnsi="CorpoS"/>
                <w:b/>
                <w:sz w:val="8"/>
                <w:szCs w:val="8"/>
                <w:lang w:val="en-US"/>
              </w:rPr>
            </w:pPr>
          </w:p>
        </w:tc>
      </w:tr>
      <w:tr w:rsidR="00511729" w:rsidRPr="0009657C" w14:paraId="43B80918" w14:textId="77777777" w:rsidTr="00DE3D5A">
        <w:tc>
          <w:tcPr>
            <w:tcW w:w="3969" w:type="dxa"/>
            <w:tcBorders>
              <w:right w:val="single" w:sz="4" w:space="0" w:color="auto"/>
            </w:tcBorders>
            <w:shd w:val="clear" w:color="auto" w:fill="auto"/>
          </w:tcPr>
          <w:p w14:paraId="48D990DF" w14:textId="77777777" w:rsidR="00511729" w:rsidRPr="0009657C" w:rsidRDefault="00511729" w:rsidP="000E7749">
            <w:pPr>
              <w:suppressAutoHyphens/>
              <w:rPr>
                <w:rFonts w:ascii="CorpoS" w:hAnsi="CorpoS"/>
                <w:sz w:val="22"/>
                <w:szCs w:val="22"/>
                <w:lang w:val="en-US"/>
              </w:rPr>
            </w:pPr>
          </w:p>
        </w:tc>
        <w:tc>
          <w:tcPr>
            <w:tcW w:w="1134" w:type="dxa"/>
            <w:tcBorders>
              <w:left w:val="single" w:sz="4" w:space="0" w:color="auto"/>
              <w:right w:val="single" w:sz="4" w:space="0" w:color="auto"/>
            </w:tcBorders>
          </w:tcPr>
          <w:p w14:paraId="5D979CA4" w14:textId="77777777" w:rsidR="00511729" w:rsidRPr="0009657C" w:rsidRDefault="00511729" w:rsidP="000E7749">
            <w:pPr>
              <w:suppressAutoHyphens/>
              <w:jc w:val="right"/>
              <w:rPr>
                <w:rFonts w:ascii="CorpoS" w:hAnsi="CorpoS"/>
                <w:b/>
                <w:sz w:val="22"/>
                <w:szCs w:val="22"/>
                <w:lang w:val="en-US"/>
              </w:rPr>
            </w:pPr>
          </w:p>
        </w:tc>
        <w:tc>
          <w:tcPr>
            <w:tcW w:w="1134" w:type="dxa"/>
            <w:tcBorders>
              <w:left w:val="single" w:sz="4" w:space="0" w:color="auto"/>
              <w:right w:val="single" w:sz="18" w:space="0" w:color="auto"/>
            </w:tcBorders>
          </w:tcPr>
          <w:p w14:paraId="1C61336B" w14:textId="77777777" w:rsidR="00511729" w:rsidRPr="0009657C" w:rsidRDefault="00511729" w:rsidP="000E7749">
            <w:pPr>
              <w:suppressAutoHyphens/>
              <w:jc w:val="right"/>
              <w:rPr>
                <w:rFonts w:ascii="CorpoS" w:hAnsi="CorpoS"/>
                <w:b/>
                <w:sz w:val="22"/>
                <w:szCs w:val="22"/>
                <w:lang w:val="en-US"/>
              </w:rPr>
            </w:pPr>
          </w:p>
        </w:tc>
        <w:tc>
          <w:tcPr>
            <w:tcW w:w="1276" w:type="dxa"/>
            <w:tcBorders>
              <w:left w:val="single" w:sz="18" w:space="0" w:color="auto"/>
              <w:bottom w:val="single" w:sz="4" w:space="0" w:color="auto"/>
            </w:tcBorders>
            <w:shd w:val="clear" w:color="auto" w:fill="auto"/>
          </w:tcPr>
          <w:p w14:paraId="57FE62AA" w14:textId="30202E1C" w:rsidR="00511729" w:rsidRPr="0009657C" w:rsidRDefault="00E00A7E" w:rsidP="000E7749">
            <w:pPr>
              <w:suppressAutoHyphens/>
              <w:jc w:val="right"/>
              <w:rPr>
                <w:rFonts w:ascii="CorpoS" w:hAnsi="CorpoS"/>
                <w:b/>
                <w:sz w:val="22"/>
                <w:szCs w:val="22"/>
                <w:lang w:val="en-US"/>
              </w:rPr>
            </w:pPr>
            <w:r>
              <w:rPr>
                <w:rFonts w:ascii="CorpoS" w:hAnsi="CorpoS"/>
                <w:b/>
                <w:sz w:val="22"/>
                <w:szCs w:val="22"/>
                <w:lang w:val="en-US"/>
              </w:rPr>
              <w:t xml:space="preserve">Dec. </w:t>
            </w:r>
            <w:r w:rsidR="00511729" w:rsidRPr="0009657C">
              <w:rPr>
                <w:rFonts w:ascii="CorpoS" w:hAnsi="CorpoS"/>
                <w:b/>
                <w:sz w:val="22"/>
                <w:szCs w:val="22"/>
                <w:lang w:val="en-US"/>
              </w:rPr>
              <w:t>31</w:t>
            </w:r>
            <w:r>
              <w:rPr>
                <w:rFonts w:ascii="CorpoS" w:hAnsi="CorpoS"/>
                <w:b/>
                <w:sz w:val="22"/>
                <w:szCs w:val="22"/>
                <w:lang w:val="en-US"/>
              </w:rPr>
              <w:t>,</w:t>
            </w:r>
            <w:r w:rsidR="00511729" w:rsidRPr="0009657C">
              <w:rPr>
                <w:rFonts w:ascii="CorpoS" w:hAnsi="CorpoS"/>
                <w:b/>
                <w:sz w:val="22"/>
                <w:szCs w:val="22"/>
                <w:lang w:val="en-US"/>
              </w:rPr>
              <w:t xml:space="preserve"> </w:t>
            </w:r>
            <w:r w:rsidR="007575AF" w:rsidRPr="0009657C">
              <w:rPr>
                <w:rFonts w:ascii="CorpoS" w:hAnsi="CorpoS"/>
                <w:b/>
                <w:sz w:val="22"/>
                <w:szCs w:val="22"/>
                <w:lang w:val="en-US"/>
              </w:rPr>
              <w:t>20</w:t>
            </w:r>
            <w:r w:rsidR="00511729" w:rsidRPr="0009657C">
              <w:rPr>
                <w:rFonts w:ascii="CorpoS" w:hAnsi="CorpoS"/>
                <w:b/>
                <w:sz w:val="22"/>
                <w:szCs w:val="22"/>
                <w:lang w:val="en-US"/>
              </w:rPr>
              <w:t>15</w:t>
            </w:r>
          </w:p>
        </w:tc>
        <w:tc>
          <w:tcPr>
            <w:tcW w:w="1276" w:type="dxa"/>
            <w:tcBorders>
              <w:bottom w:val="single" w:sz="4" w:space="0" w:color="auto"/>
            </w:tcBorders>
            <w:shd w:val="clear" w:color="auto" w:fill="auto"/>
          </w:tcPr>
          <w:p w14:paraId="551C08F2" w14:textId="01D5B9FA" w:rsidR="00511729" w:rsidRPr="0009657C" w:rsidRDefault="00E00A7E" w:rsidP="000E7749">
            <w:pPr>
              <w:suppressAutoHyphens/>
              <w:jc w:val="right"/>
              <w:rPr>
                <w:rFonts w:ascii="CorpoS" w:hAnsi="CorpoS"/>
                <w:b/>
                <w:sz w:val="22"/>
                <w:szCs w:val="22"/>
                <w:lang w:val="en-US"/>
              </w:rPr>
            </w:pPr>
            <w:r>
              <w:rPr>
                <w:rFonts w:ascii="CorpoS" w:hAnsi="CorpoS"/>
                <w:b/>
                <w:sz w:val="22"/>
                <w:szCs w:val="22"/>
                <w:lang w:val="en-US"/>
              </w:rPr>
              <w:t xml:space="preserve">Sep. </w:t>
            </w:r>
            <w:r w:rsidR="00511729" w:rsidRPr="0009657C">
              <w:rPr>
                <w:rFonts w:ascii="CorpoS" w:hAnsi="CorpoS"/>
                <w:b/>
                <w:sz w:val="22"/>
                <w:szCs w:val="22"/>
                <w:lang w:val="en-US"/>
              </w:rPr>
              <w:t>3</w:t>
            </w:r>
            <w:r w:rsidR="007575AF" w:rsidRPr="0009657C">
              <w:rPr>
                <w:rFonts w:ascii="CorpoS" w:hAnsi="CorpoS"/>
                <w:b/>
                <w:sz w:val="22"/>
                <w:szCs w:val="22"/>
                <w:lang w:val="en-US"/>
              </w:rPr>
              <w:t>0</w:t>
            </w:r>
            <w:r>
              <w:rPr>
                <w:rFonts w:ascii="CorpoS" w:hAnsi="CorpoS"/>
                <w:b/>
                <w:sz w:val="22"/>
                <w:szCs w:val="22"/>
                <w:lang w:val="en-US"/>
              </w:rPr>
              <w:t xml:space="preserve">, </w:t>
            </w:r>
            <w:r w:rsidR="007575AF" w:rsidRPr="0009657C">
              <w:rPr>
                <w:rFonts w:ascii="CorpoS" w:hAnsi="CorpoS"/>
                <w:b/>
                <w:sz w:val="22"/>
                <w:szCs w:val="22"/>
                <w:lang w:val="en-US"/>
              </w:rPr>
              <w:t>20</w:t>
            </w:r>
            <w:r w:rsidR="00511729" w:rsidRPr="0009657C">
              <w:rPr>
                <w:rFonts w:ascii="CorpoS" w:hAnsi="CorpoS"/>
                <w:b/>
                <w:sz w:val="22"/>
                <w:szCs w:val="22"/>
                <w:lang w:val="en-US"/>
              </w:rPr>
              <w:t>16</w:t>
            </w:r>
          </w:p>
        </w:tc>
        <w:tc>
          <w:tcPr>
            <w:tcW w:w="1418" w:type="dxa"/>
            <w:tcBorders>
              <w:bottom w:val="single" w:sz="4" w:space="0" w:color="auto"/>
              <w:right w:val="single" w:sz="18" w:space="0" w:color="auto"/>
            </w:tcBorders>
            <w:shd w:val="clear" w:color="auto" w:fill="auto"/>
          </w:tcPr>
          <w:p w14:paraId="2F90090D" w14:textId="7CFC081E" w:rsidR="00511729" w:rsidRPr="0009657C" w:rsidRDefault="00E00A7E" w:rsidP="000E7749">
            <w:pPr>
              <w:suppressAutoHyphens/>
              <w:ind w:right="33"/>
              <w:rPr>
                <w:rFonts w:ascii="CorpoS" w:hAnsi="CorpoS"/>
                <w:b/>
                <w:sz w:val="22"/>
                <w:szCs w:val="22"/>
                <w:lang w:val="en-US"/>
              </w:rPr>
            </w:pPr>
            <w:r>
              <w:rPr>
                <w:rFonts w:ascii="CorpoS" w:hAnsi="CorpoS"/>
                <w:b/>
                <w:sz w:val="22"/>
                <w:szCs w:val="22"/>
                <w:lang w:val="en-US"/>
              </w:rPr>
              <w:t>Change</w:t>
            </w:r>
          </w:p>
        </w:tc>
      </w:tr>
      <w:tr w:rsidR="00511729" w:rsidRPr="0009657C" w14:paraId="6B89B9E8" w14:textId="77777777" w:rsidTr="00DE3D5A">
        <w:tc>
          <w:tcPr>
            <w:tcW w:w="3969" w:type="dxa"/>
            <w:tcBorders>
              <w:right w:val="single" w:sz="4" w:space="0" w:color="auto"/>
            </w:tcBorders>
            <w:shd w:val="clear" w:color="auto" w:fill="auto"/>
          </w:tcPr>
          <w:p w14:paraId="0641C19A" w14:textId="3D46FC46" w:rsidR="00511729" w:rsidRPr="0009657C" w:rsidRDefault="0043597D" w:rsidP="0043597D">
            <w:pPr>
              <w:suppressAutoHyphens/>
              <w:rPr>
                <w:rFonts w:ascii="CorpoS" w:hAnsi="CorpoS"/>
                <w:b/>
                <w:sz w:val="22"/>
                <w:szCs w:val="22"/>
                <w:lang w:val="en-US"/>
              </w:rPr>
            </w:pPr>
            <w:r>
              <w:rPr>
                <w:rFonts w:ascii="CorpoS" w:hAnsi="CorpoS"/>
                <w:b/>
                <w:sz w:val="22"/>
                <w:szCs w:val="22"/>
                <w:lang w:val="en-US"/>
              </w:rPr>
              <w:t>B</w:t>
            </w:r>
            <w:r w:rsidR="00E00A7E">
              <w:rPr>
                <w:rFonts w:ascii="CorpoS" w:hAnsi="CorpoS"/>
                <w:b/>
                <w:sz w:val="22"/>
                <w:szCs w:val="22"/>
                <w:lang w:val="en-US"/>
              </w:rPr>
              <w:t xml:space="preserve">alance sheet </w:t>
            </w:r>
            <w:r>
              <w:rPr>
                <w:rFonts w:ascii="CorpoS" w:hAnsi="CorpoS"/>
                <w:b/>
                <w:sz w:val="22"/>
                <w:szCs w:val="22"/>
                <w:lang w:val="en-US"/>
              </w:rPr>
              <w:t>key figures</w:t>
            </w:r>
          </w:p>
        </w:tc>
        <w:tc>
          <w:tcPr>
            <w:tcW w:w="1134" w:type="dxa"/>
            <w:tcBorders>
              <w:left w:val="single" w:sz="4" w:space="0" w:color="auto"/>
              <w:right w:val="single" w:sz="4" w:space="0" w:color="auto"/>
            </w:tcBorders>
          </w:tcPr>
          <w:p w14:paraId="23ACE94B" w14:textId="77777777" w:rsidR="00511729" w:rsidRPr="00E00A7E" w:rsidRDefault="00511729"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3B7EAC80" w14:textId="77777777" w:rsidR="00511729" w:rsidRPr="00E00A7E" w:rsidRDefault="00511729"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tcPr>
          <w:p w14:paraId="05AC8491" w14:textId="77777777" w:rsidR="00511729" w:rsidRPr="00E00A7E" w:rsidRDefault="00511729" w:rsidP="000E7749">
            <w:pPr>
              <w:suppressAutoHyphens/>
              <w:jc w:val="right"/>
              <w:rPr>
                <w:rFonts w:ascii="CorpoS" w:hAnsi="CorpoS"/>
                <w:sz w:val="22"/>
                <w:szCs w:val="22"/>
                <w:lang w:val="en-US"/>
              </w:rPr>
            </w:pPr>
          </w:p>
        </w:tc>
        <w:tc>
          <w:tcPr>
            <w:tcW w:w="1276" w:type="dxa"/>
            <w:tcBorders>
              <w:top w:val="single" w:sz="4" w:space="0" w:color="auto"/>
              <w:bottom w:val="single" w:sz="4" w:space="0" w:color="auto"/>
            </w:tcBorders>
            <w:shd w:val="clear" w:color="auto" w:fill="auto"/>
          </w:tcPr>
          <w:p w14:paraId="46666EE4" w14:textId="77777777" w:rsidR="00511729" w:rsidRPr="00E00A7E" w:rsidRDefault="00511729" w:rsidP="000E7749">
            <w:pPr>
              <w:suppressAutoHyphens/>
              <w:jc w:val="right"/>
              <w:rPr>
                <w:rFonts w:ascii="CorpoS" w:hAnsi="CorpoS"/>
                <w:sz w:val="22"/>
                <w:szCs w:val="22"/>
                <w:lang w:val="en-US"/>
              </w:rPr>
            </w:pPr>
          </w:p>
        </w:tc>
        <w:tc>
          <w:tcPr>
            <w:tcW w:w="1418" w:type="dxa"/>
            <w:tcBorders>
              <w:top w:val="single" w:sz="4" w:space="0" w:color="auto"/>
              <w:bottom w:val="single" w:sz="4" w:space="0" w:color="auto"/>
              <w:right w:val="single" w:sz="18" w:space="0" w:color="auto"/>
            </w:tcBorders>
            <w:shd w:val="clear" w:color="auto" w:fill="auto"/>
          </w:tcPr>
          <w:p w14:paraId="62B8EDDA" w14:textId="77777777" w:rsidR="00511729" w:rsidRPr="00E00A7E" w:rsidRDefault="00511729" w:rsidP="000E7749">
            <w:pPr>
              <w:suppressAutoHyphens/>
              <w:ind w:right="33"/>
              <w:jc w:val="right"/>
              <w:rPr>
                <w:rFonts w:ascii="CorpoS" w:hAnsi="CorpoS"/>
                <w:sz w:val="22"/>
                <w:szCs w:val="22"/>
                <w:lang w:val="en-US"/>
              </w:rPr>
            </w:pPr>
          </w:p>
        </w:tc>
      </w:tr>
      <w:tr w:rsidR="00721388" w:rsidRPr="0009657C" w14:paraId="2B59223E" w14:textId="77777777" w:rsidTr="00DE3D5A">
        <w:tc>
          <w:tcPr>
            <w:tcW w:w="3969" w:type="dxa"/>
            <w:tcBorders>
              <w:right w:val="single" w:sz="4" w:space="0" w:color="auto"/>
            </w:tcBorders>
            <w:shd w:val="clear" w:color="auto" w:fill="auto"/>
          </w:tcPr>
          <w:p w14:paraId="1DADE0D6" w14:textId="49D4A98D" w:rsidR="00721388" w:rsidRPr="0009657C" w:rsidRDefault="00721388" w:rsidP="000E7749">
            <w:pPr>
              <w:suppressAutoHyphens/>
              <w:ind w:firstLine="176"/>
              <w:rPr>
                <w:rFonts w:ascii="CorpoS" w:hAnsi="CorpoS"/>
                <w:sz w:val="22"/>
                <w:szCs w:val="22"/>
                <w:lang w:val="en-US"/>
              </w:rPr>
            </w:pPr>
            <w:r w:rsidRPr="0009657C">
              <w:rPr>
                <w:rFonts w:ascii="CorpoS" w:hAnsi="CorpoS"/>
                <w:sz w:val="22"/>
                <w:szCs w:val="22"/>
                <w:lang w:val="en-US"/>
              </w:rPr>
              <w:t>I</w:t>
            </w:r>
            <w:r>
              <w:rPr>
                <w:rFonts w:ascii="CorpoS" w:hAnsi="CorpoS"/>
                <w:sz w:val="22"/>
                <w:szCs w:val="22"/>
                <w:lang w:val="en-US"/>
              </w:rPr>
              <w:t>ntangible assets</w:t>
            </w:r>
          </w:p>
        </w:tc>
        <w:tc>
          <w:tcPr>
            <w:tcW w:w="1134" w:type="dxa"/>
            <w:tcBorders>
              <w:left w:val="single" w:sz="4" w:space="0" w:color="auto"/>
              <w:right w:val="single" w:sz="4" w:space="0" w:color="auto"/>
            </w:tcBorders>
          </w:tcPr>
          <w:p w14:paraId="3297266B" w14:textId="77777777" w:rsidR="00721388" w:rsidRPr="00E00A7E"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6BA9A4F2" w14:textId="77777777" w:rsidR="00721388" w:rsidRPr="00E00A7E"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6629BC17" w14:textId="09C35109"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2,214.0</w:t>
            </w:r>
          </w:p>
        </w:tc>
        <w:tc>
          <w:tcPr>
            <w:tcW w:w="1276" w:type="dxa"/>
            <w:tcBorders>
              <w:top w:val="single" w:sz="4" w:space="0" w:color="auto"/>
              <w:bottom w:val="single" w:sz="4" w:space="0" w:color="auto"/>
            </w:tcBorders>
            <w:shd w:val="clear" w:color="auto" w:fill="auto"/>
            <w:vAlign w:val="center"/>
          </w:tcPr>
          <w:p w14:paraId="6A21B903" w14:textId="540D8535"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2,236.0</w:t>
            </w:r>
          </w:p>
        </w:tc>
        <w:tc>
          <w:tcPr>
            <w:tcW w:w="1418" w:type="dxa"/>
            <w:tcBorders>
              <w:top w:val="single" w:sz="4" w:space="0" w:color="auto"/>
              <w:bottom w:val="single" w:sz="4" w:space="0" w:color="auto"/>
              <w:right w:val="single" w:sz="18" w:space="0" w:color="auto"/>
            </w:tcBorders>
            <w:shd w:val="clear" w:color="auto" w:fill="auto"/>
            <w:vAlign w:val="center"/>
          </w:tcPr>
          <w:p w14:paraId="2AC38F31" w14:textId="116B5E3A" w:rsidR="00721388" w:rsidRPr="00E00A7E" w:rsidRDefault="00721388" w:rsidP="00721388">
            <w:pPr>
              <w:suppressAutoHyphens/>
              <w:ind w:firstLineChars="100" w:firstLine="220"/>
              <w:jc w:val="right"/>
              <w:rPr>
                <w:rFonts w:ascii="CorpoS" w:hAnsi="CorpoS" w:cs="Arial"/>
                <w:sz w:val="22"/>
                <w:szCs w:val="22"/>
                <w:lang w:val="en-US"/>
              </w:rPr>
            </w:pPr>
            <w:r>
              <w:rPr>
                <w:rFonts w:ascii="CorpoS" w:hAnsi="CorpoS" w:cs="Arial"/>
                <w:sz w:val="22"/>
                <w:szCs w:val="22"/>
              </w:rPr>
              <w:t>+ 1.0%</w:t>
            </w:r>
          </w:p>
        </w:tc>
      </w:tr>
      <w:tr w:rsidR="00721388" w:rsidRPr="0009657C" w14:paraId="1E992D66" w14:textId="77777777" w:rsidTr="00DE3D5A">
        <w:tc>
          <w:tcPr>
            <w:tcW w:w="3969" w:type="dxa"/>
            <w:tcBorders>
              <w:right w:val="single" w:sz="4" w:space="0" w:color="auto"/>
            </w:tcBorders>
            <w:shd w:val="clear" w:color="auto" w:fill="auto"/>
          </w:tcPr>
          <w:p w14:paraId="15837D64" w14:textId="099DBFAF" w:rsidR="00721388" w:rsidRPr="0009657C" w:rsidRDefault="00721388" w:rsidP="000E7749">
            <w:pPr>
              <w:suppressAutoHyphens/>
              <w:ind w:left="176"/>
              <w:rPr>
                <w:rFonts w:ascii="CorpoS" w:hAnsi="CorpoS"/>
                <w:sz w:val="22"/>
                <w:szCs w:val="22"/>
                <w:lang w:val="en-US"/>
              </w:rPr>
            </w:pPr>
            <w:r>
              <w:rPr>
                <w:rFonts w:ascii="CorpoS" w:hAnsi="CorpoS"/>
                <w:sz w:val="22"/>
                <w:szCs w:val="22"/>
                <w:lang w:val="en-US"/>
              </w:rPr>
              <w:t>Cash and cash equivalents</w:t>
            </w:r>
          </w:p>
        </w:tc>
        <w:tc>
          <w:tcPr>
            <w:tcW w:w="1134" w:type="dxa"/>
            <w:tcBorders>
              <w:left w:val="single" w:sz="4" w:space="0" w:color="auto"/>
              <w:right w:val="single" w:sz="4" w:space="0" w:color="auto"/>
            </w:tcBorders>
          </w:tcPr>
          <w:p w14:paraId="706E2923" w14:textId="77777777" w:rsidR="00721388" w:rsidRPr="00E00A7E"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4D2D0C50" w14:textId="77777777" w:rsidR="00721388" w:rsidRPr="00E00A7E"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543E48C8" w14:textId="73E55110"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53.1</w:t>
            </w:r>
          </w:p>
        </w:tc>
        <w:tc>
          <w:tcPr>
            <w:tcW w:w="1276" w:type="dxa"/>
            <w:tcBorders>
              <w:top w:val="single" w:sz="4" w:space="0" w:color="auto"/>
              <w:bottom w:val="single" w:sz="4" w:space="0" w:color="auto"/>
            </w:tcBorders>
            <w:shd w:val="clear" w:color="auto" w:fill="auto"/>
            <w:vAlign w:val="center"/>
          </w:tcPr>
          <w:p w14:paraId="747AF3D3" w14:textId="7141AD9D"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398.5</w:t>
            </w:r>
          </w:p>
        </w:tc>
        <w:tc>
          <w:tcPr>
            <w:tcW w:w="1418" w:type="dxa"/>
            <w:tcBorders>
              <w:top w:val="single" w:sz="4" w:space="0" w:color="auto"/>
              <w:bottom w:val="single" w:sz="4" w:space="0" w:color="auto"/>
              <w:right w:val="single" w:sz="18" w:space="0" w:color="auto"/>
            </w:tcBorders>
            <w:shd w:val="clear" w:color="auto" w:fill="auto"/>
            <w:vAlign w:val="center"/>
          </w:tcPr>
          <w:p w14:paraId="2BE8D752" w14:textId="333565BD"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+ 650.5%</w:t>
            </w:r>
          </w:p>
        </w:tc>
      </w:tr>
      <w:tr w:rsidR="00721388" w:rsidRPr="0009657C" w14:paraId="56E17AAB" w14:textId="77777777" w:rsidTr="00DE3D5A">
        <w:tc>
          <w:tcPr>
            <w:tcW w:w="3969" w:type="dxa"/>
            <w:tcBorders>
              <w:right w:val="single" w:sz="4" w:space="0" w:color="auto"/>
            </w:tcBorders>
            <w:shd w:val="clear" w:color="auto" w:fill="auto"/>
          </w:tcPr>
          <w:p w14:paraId="756F55E7" w14:textId="1BDC616B" w:rsidR="00721388" w:rsidRPr="0009657C" w:rsidRDefault="00721388" w:rsidP="000E7749">
            <w:pPr>
              <w:suppressAutoHyphens/>
              <w:ind w:left="176"/>
              <w:rPr>
                <w:rFonts w:ascii="CorpoS" w:hAnsi="CorpoS"/>
                <w:sz w:val="22"/>
                <w:szCs w:val="22"/>
                <w:lang w:val="en-US"/>
              </w:rPr>
            </w:pPr>
            <w:r>
              <w:rPr>
                <w:rFonts w:ascii="CorpoS" w:hAnsi="CorpoS"/>
                <w:sz w:val="22"/>
                <w:szCs w:val="22"/>
                <w:lang w:val="en-US"/>
              </w:rPr>
              <w:t>Pension provisions</w:t>
            </w:r>
          </w:p>
        </w:tc>
        <w:tc>
          <w:tcPr>
            <w:tcW w:w="1134" w:type="dxa"/>
            <w:tcBorders>
              <w:left w:val="single" w:sz="4" w:space="0" w:color="auto"/>
              <w:right w:val="single" w:sz="4" w:space="0" w:color="auto"/>
            </w:tcBorders>
          </w:tcPr>
          <w:p w14:paraId="4B3F736E" w14:textId="77777777" w:rsidR="00721388" w:rsidRPr="00E00A7E"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5C3C2E2F" w14:textId="77777777" w:rsidR="00721388" w:rsidRPr="00E00A7E"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BC49825" w14:textId="5E698EC8"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801.7</w:t>
            </w:r>
          </w:p>
        </w:tc>
        <w:tc>
          <w:tcPr>
            <w:tcW w:w="1276" w:type="dxa"/>
            <w:tcBorders>
              <w:top w:val="single" w:sz="4" w:space="0" w:color="auto"/>
              <w:bottom w:val="single" w:sz="4" w:space="0" w:color="auto"/>
            </w:tcBorders>
            <w:shd w:val="clear" w:color="auto" w:fill="auto"/>
            <w:vAlign w:val="center"/>
          </w:tcPr>
          <w:p w14:paraId="100D7978" w14:textId="56A49564"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960.2</w:t>
            </w:r>
          </w:p>
        </w:tc>
        <w:tc>
          <w:tcPr>
            <w:tcW w:w="1418" w:type="dxa"/>
            <w:tcBorders>
              <w:top w:val="single" w:sz="4" w:space="0" w:color="auto"/>
              <w:bottom w:val="single" w:sz="4" w:space="0" w:color="auto"/>
              <w:right w:val="single" w:sz="18" w:space="0" w:color="auto"/>
            </w:tcBorders>
            <w:shd w:val="clear" w:color="auto" w:fill="auto"/>
            <w:vAlign w:val="center"/>
          </w:tcPr>
          <w:p w14:paraId="6FF9A2A5" w14:textId="0F489E20"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+ 19.8%</w:t>
            </w:r>
          </w:p>
        </w:tc>
      </w:tr>
      <w:tr w:rsidR="00721388" w:rsidRPr="0009657C" w14:paraId="60EBD5BD" w14:textId="77777777" w:rsidTr="00DE3D5A">
        <w:tc>
          <w:tcPr>
            <w:tcW w:w="3969" w:type="dxa"/>
            <w:tcBorders>
              <w:right w:val="single" w:sz="4" w:space="0" w:color="auto"/>
            </w:tcBorders>
            <w:shd w:val="clear" w:color="auto" w:fill="auto"/>
          </w:tcPr>
          <w:p w14:paraId="232BCD29" w14:textId="0F6935DC" w:rsidR="00721388" w:rsidRPr="0009657C" w:rsidRDefault="00721388" w:rsidP="000E7749">
            <w:pPr>
              <w:suppressAutoHyphens/>
              <w:ind w:left="176"/>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quity</w:t>
            </w:r>
          </w:p>
        </w:tc>
        <w:tc>
          <w:tcPr>
            <w:tcW w:w="1134" w:type="dxa"/>
            <w:tcBorders>
              <w:left w:val="single" w:sz="4" w:space="0" w:color="auto"/>
              <w:right w:val="single" w:sz="4" w:space="0" w:color="auto"/>
            </w:tcBorders>
          </w:tcPr>
          <w:p w14:paraId="626A6BF8" w14:textId="77777777" w:rsidR="00721388" w:rsidRPr="00E00A7E"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27BCED46" w14:textId="77777777" w:rsidR="00721388" w:rsidRPr="00E00A7E"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5E76AA7" w14:textId="2FF0249A"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1,300.6</w:t>
            </w:r>
          </w:p>
        </w:tc>
        <w:tc>
          <w:tcPr>
            <w:tcW w:w="1276" w:type="dxa"/>
            <w:tcBorders>
              <w:top w:val="single" w:sz="4" w:space="0" w:color="auto"/>
              <w:bottom w:val="single" w:sz="4" w:space="0" w:color="auto"/>
            </w:tcBorders>
            <w:shd w:val="clear" w:color="auto" w:fill="auto"/>
            <w:vAlign w:val="center"/>
          </w:tcPr>
          <w:p w14:paraId="69F3426F" w14:textId="146FA5C0"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1,438.4</w:t>
            </w:r>
          </w:p>
        </w:tc>
        <w:tc>
          <w:tcPr>
            <w:tcW w:w="1418" w:type="dxa"/>
            <w:tcBorders>
              <w:top w:val="single" w:sz="4" w:space="0" w:color="auto"/>
              <w:bottom w:val="single" w:sz="4" w:space="0" w:color="auto"/>
              <w:right w:val="single" w:sz="18" w:space="0" w:color="auto"/>
            </w:tcBorders>
            <w:shd w:val="clear" w:color="auto" w:fill="auto"/>
            <w:vAlign w:val="center"/>
          </w:tcPr>
          <w:p w14:paraId="34489E40" w14:textId="0A2ECE41"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+ 10.6%</w:t>
            </w:r>
          </w:p>
        </w:tc>
      </w:tr>
      <w:tr w:rsidR="00721388" w:rsidRPr="0009657C" w14:paraId="080EC2AE" w14:textId="77777777" w:rsidTr="00DE3D5A">
        <w:tc>
          <w:tcPr>
            <w:tcW w:w="3969" w:type="dxa"/>
            <w:tcBorders>
              <w:right w:val="single" w:sz="4" w:space="0" w:color="auto"/>
            </w:tcBorders>
            <w:shd w:val="clear" w:color="auto" w:fill="auto"/>
          </w:tcPr>
          <w:p w14:paraId="5273A15B" w14:textId="6C134924" w:rsidR="00721388" w:rsidRPr="0009657C" w:rsidRDefault="00721388" w:rsidP="000E7749">
            <w:pPr>
              <w:suppressAutoHyphens/>
              <w:ind w:left="176"/>
              <w:rPr>
                <w:rFonts w:ascii="CorpoS" w:hAnsi="CorpoS"/>
                <w:sz w:val="22"/>
                <w:szCs w:val="22"/>
                <w:lang w:val="en-US"/>
              </w:rPr>
            </w:pPr>
            <w:r w:rsidRPr="0009657C">
              <w:rPr>
                <w:rFonts w:ascii="CorpoS" w:hAnsi="CorpoS"/>
                <w:sz w:val="22"/>
                <w:szCs w:val="22"/>
                <w:lang w:val="en-US"/>
              </w:rPr>
              <w:t>Net</w:t>
            </w:r>
            <w:r>
              <w:rPr>
                <w:rFonts w:ascii="CorpoS" w:hAnsi="CorpoS"/>
                <w:sz w:val="22"/>
                <w:szCs w:val="22"/>
                <w:lang w:val="en-US"/>
              </w:rPr>
              <w:t xml:space="preserve"> financial debt</w:t>
            </w:r>
          </w:p>
        </w:tc>
        <w:tc>
          <w:tcPr>
            <w:tcW w:w="1134" w:type="dxa"/>
            <w:tcBorders>
              <w:left w:val="single" w:sz="4" w:space="0" w:color="auto"/>
              <w:right w:val="single" w:sz="4" w:space="0" w:color="auto"/>
            </w:tcBorders>
          </w:tcPr>
          <w:p w14:paraId="3901F6E7" w14:textId="77777777" w:rsidR="00721388" w:rsidRPr="00E00A7E"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1B69C367" w14:textId="77777777" w:rsidR="00721388" w:rsidRPr="00E00A7E"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437A04D5" w14:textId="6D439B7C"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881.2</w:t>
            </w:r>
          </w:p>
        </w:tc>
        <w:tc>
          <w:tcPr>
            <w:tcW w:w="1276" w:type="dxa"/>
            <w:tcBorders>
              <w:top w:val="single" w:sz="4" w:space="0" w:color="auto"/>
              <w:bottom w:val="single" w:sz="4" w:space="0" w:color="auto"/>
            </w:tcBorders>
            <w:shd w:val="clear" w:color="auto" w:fill="auto"/>
            <w:vAlign w:val="center"/>
          </w:tcPr>
          <w:p w14:paraId="3B1844FB" w14:textId="7EC6B645"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863.2</w:t>
            </w:r>
          </w:p>
        </w:tc>
        <w:tc>
          <w:tcPr>
            <w:tcW w:w="1418" w:type="dxa"/>
            <w:tcBorders>
              <w:top w:val="single" w:sz="4" w:space="0" w:color="auto"/>
              <w:bottom w:val="single" w:sz="4" w:space="0" w:color="auto"/>
              <w:right w:val="single" w:sz="18" w:space="0" w:color="auto"/>
            </w:tcBorders>
            <w:shd w:val="clear" w:color="auto" w:fill="auto"/>
            <w:vAlign w:val="center"/>
          </w:tcPr>
          <w:p w14:paraId="2D1B36B7" w14:textId="08B8ADAA"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- 2.0%</w:t>
            </w:r>
          </w:p>
        </w:tc>
      </w:tr>
      <w:tr w:rsidR="00721388" w:rsidRPr="0009657C" w14:paraId="4022CB88" w14:textId="77777777" w:rsidTr="00DE3D5A">
        <w:tc>
          <w:tcPr>
            <w:tcW w:w="3969" w:type="dxa"/>
            <w:tcBorders>
              <w:right w:val="single" w:sz="4" w:space="0" w:color="auto"/>
            </w:tcBorders>
            <w:shd w:val="clear" w:color="auto" w:fill="auto"/>
          </w:tcPr>
          <w:p w14:paraId="394F4987" w14:textId="021044CF" w:rsidR="00721388" w:rsidRPr="0009657C" w:rsidRDefault="00721388" w:rsidP="000E7749">
            <w:pPr>
              <w:suppressAutoHyphens/>
              <w:ind w:left="176"/>
              <w:rPr>
                <w:rFonts w:ascii="CorpoS" w:hAnsi="CorpoS"/>
                <w:sz w:val="22"/>
                <w:szCs w:val="22"/>
                <w:lang w:val="en-US"/>
              </w:rPr>
            </w:pPr>
            <w:r>
              <w:rPr>
                <w:rFonts w:ascii="CorpoS" w:hAnsi="CorpoS"/>
                <w:sz w:val="22"/>
                <w:szCs w:val="22"/>
                <w:lang w:val="en-US"/>
              </w:rPr>
              <w:t>Total assets and liabilities</w:t>
            </w:r>
          </w:p>
        </w:tc>
        <w:tc>
          <w:tcPr>
            <w:tcW w:w="1134" w:type="dxa"/>
            <w:tcBorders>
              <w:left w:val="single" w:sz="4" w:space="0" w:color="auto"/>
              <w:right w:val="single" w:sz="4" w:space="0" w:color="auto"/>
            </w:tcBorders>
          </w:tcPr>
          <w:p w14:paraId="31C4A25A" w14:textId="77777777" w:rsidR="00721388" w:rsidRPr="00E00A7E"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5F951628" w14:textId="77777777" w:rsidR="00721388" w:rsidRPr="00E00A7E"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757FF6F6" w14:textId="38A4B2C2"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5,188.3</w:t>
            </w:r>
          </w:p>
        </w:tc>
        <w:tc>
          <w:tcPr>
            <w:tcW w:w="1276" w:type="dxa"/>
            <w:tcBorders>
              <w:top w:val="single" w:sz="4" w:space="0" w:color="auto"/>
              <w:bottom w:val="single" w:sz="4" w:space="0" w:color="auto"/>
            </w:tcBorders>
            <w:shd w:val="clear" w:color="auto" w:fill="auto"/>
            <w:vAlign w:val="center"/>
          </w:tcPr>
          <w:p w14:paraId="493233ED" w14:textId="122686D1"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5,649.9</w:t>
            </w:r>
          </w:p>
        </w:tc>
        <w:tc>
          <w:tcPr>
            <w:tcW w:w="1418" w:type="dxa"/>
            <w:tcBorders>
              <w:top w:val="single" w:sz="4" w:space="0" w:color="auto"/>
              <w:bottom w:val="single" w:sz="4" w:space="0" w:color="auto"/>
              <w:right w:val="single" w:sz="18" w:space="0" w:color="auto"/>
            </w:tcBorders>
            <w:shd w:val="clear" w:color="auto" w:fill="auto"/>
            <w:vAlign w:val="center"/>
          </w:tcPr>
          <w:p w14:paraId="25FEEEFB" w14:textId="67ED6B5C" w:rsidR="00721388" w:rsidRPr="00E00A7E"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+ 8.9%</w:t>
            </w:r>
          </w:p>
        </w:tc>
      </w:tr>
      <w:tr w:rsidR="00511729" w:rsidRPr="0009657C" w14:paraId="4C938845" w14:textId="77777777" w:rsidTr="00DE3D5A">
        <w:trPr>
          <w:trHeight w:val="50"/>
        </w:trPr>
        <w:tc>
          <w:tcPr>
            <w:tcW w:w="3969" w:type="dxa"/>
            <w:tcBorders>
              <w:right w:val="single" w:sz="4" w:space="0" w:color="auto"/>
            </w:tcBorders>
            <w:shd w:val="clear" w:color="auto" w:fill="auto"/>
          </w:tcPr>
          <w:p w14:paraId="11E6EAAA" w14:textId="77777777" w:rsidR="00511729" w:rsidRPr="0009657C" w:rsidRDefault="00511729" w:rsidP="000E7749">
            <w:pPr>
              <w:suppressAutoHyphens/>
              <w:rPr>
                <w:rFonts w:ascii="CorpoS" w:hAnsi="CorpoS"/>
                <w:sz w:val="8"/>
                <w:szCs w:val="8"/>
                <w:lang w:val="en-US"/>
              </w:rPr>
            </w:pPr>
          </w:p>
        </w:tc>
        <w:tc>
          <w:tcPr>
            <w:tcW w:w="1134" w:type="dxa"/>
            <w:tcBorders>
              <w:left w:val="single" w:sz="4" w:space="0" w:color="auto"/>
              <w:right w:val="single" w:sz="4" w:space="0" w:color="auto"/>
            </w:tcBorders>
          </w:tcPr>
          <w:p w14:paraId="62C52F75" w14:textId="77777777" w:rsidR="00511729" w:rsidRPr="0009657C" w:rsidRDefault="00511729" w:rsidP="000E7749">
            <w:pPr>
              <w:suppressAutoHyphens/>
              <w:jc w:val="right"/>
              <w:rPr>
                <w:rFonts w:ascii="CorpoS" w:hAnsi="CorpoS"/>
                <w:sz w:val="8"/>
                <w:szCs w:val="8"/>
                <w:lang w:val="en-US"/>
              </w:rPr>
            </w:pPr>
          </w:p>
        </w:tc>
        <w:tc>
          <w:tcPr>
            <w:tcW w:w="1134" w:type="dxa"/>
            <w:tcBorders>
              <w:left w:val="single" w:sz="4" w:space="0" w:color="auto"/>
              <w:right w:val="single" w:sz="18" w:space="0" w:color="auto"/>
            </w:tcBorders>
          </w:tcPr>
          <w:p w14:paraId="41BA8215" w14:textId="77777777" w:rsidR="00511729" w:rsidRPr="0009657C" w:rsidRDefault="00511729" w:rsidP="000E7749">
            <w:pPr>
              <w:suppressAutoHyphens/>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2B1D2CA8" w14:textId="77777777" w:rsidR="00511729" w:rsidRPr="0009657C" w:rsidRDefault="00511729" w:rsidP="000E7749">
            <w:pPr>
              <w:suppressAutoHyphens/>
              <w:ind w:firstLineChars="100" w:firstLine="80"/>
              <w:jc w:val="right"/>
              <w:rPr>
                <w:rFonts w:ascii="CorpoS" w:hAnsi="CorpoS" w:cs="Arial"/>
                <w:sz w:val="8"/>
                <w:szCs w:val="8"/>
                <w:lang w:val="en-US"/>
              </w:rPr>
            </w:pPr>
          </w:p>
        </w:tc>
        <w:tc>
          <w:tcPr>
            <w:tcW w:w="1276" w:type="dxa"/>
            <w:tcBorders>
              <w:top w:val="single" w:sz="4" w:space="0" w:color="auto"/>
              <w:bottom w:val="single" w:sz="4" w:space="0" w:color="auto"/>
            </w:tcBorders>
            <w:shd w:val="clear" w:color="auto" w:fill="auto"/>
            <w:vAlign w:val="center"/>
          </w:tcPr>
          <w:p w14:paraId="1946F862" w14:textId="77777777" w:rsidR="00511729" w:rsidRPr="0009657C" w:rsidRDefault="00511729" w:rsidP="000E7749">
            <w:pPr>
              <w:suppressAutoHyphens/>
              <w:ind w:firstLineChars="100" w:firstLine="80"/>
              <w:jc w:val="right"/>
              <w:rPr>
                <w:rFonts w:ascii="CorpoS" w:hAnsi="CorpoS" w:cs="Arial"/>
                <w:sz w:val="8"/>
                <w:szCs w:val="8"/>
                <w:lang w:val="en-US"/>
              </w:rPr>
            </w:pPr>
          </w:p>
        </w:tc>
        <w:tc>
          <w:tcPr>
            <w:tcW w:w="1418" w:type="dxa"/>
            <w:tcBorders>
              <w:top w:val="single" w:sz="4" w:space="0" w:color="auto"/>
              <w:bottom w:val="single" w:sz="4" w:space="0" w:color="auto"/>
              <w:right w:val="single" w:sz="18" w:space="0" w:color="auto"/>
            </w:tcBorders>
            <w:shd w:val="clear" w:color="auto" w:fill="auto"/>
            <w:vAlign w:val="center"/>
          </w:tcPr>
          <w:p w14:paraId="52B388CA" w14:textId="77777777" w:rsidR="00511729" w:rsidRPr="0009657C" w:rsidRDefault="00511729" w:rsidP="000E7749">
            <w:pPr>
              <w:suppressAutoHyphens/>
              <w:ind w:firstLineChars="100" w:firstLine="80"/>
              <w:jc w:val="right"/>
              <w:rPr>
                <w:rFonts w:ascii="CorpoS" w:hAnsi="CorpoS" w:cs="Arial"/>
                <w:sz w:val="8"/>
                <w:szCs w:val="8"/>
                <w:lang w:val="en-US"/>
              </w:rPr>
            </w:pPr>
          </w:p>
        </w:tc>
      </w:tr>
      <w:tr w:rsidR="00721388" w:rsidRPr="0009657C" w14:paraId="01205116" w14:textId="77777777" w:rsidTr="00DE3D5A">
        <w:tc>
          <w:tcPr>
            <w:tcW w:w="3969" w:type="dxa"/>
            <w:tcBorders>
              <w:right w:val="single" w:sz="4" w:space="0" w:color="auto"/>
            </w:tcBorders>
            <w:shd w:val="clear" w:color="auto" w:fill="auto"/>
          </w:tcPr>
          <w:p w14:paraId="52DFA591" w14:textId="2CF91DDE" w:rsidR="00721388" w:rsidRPr="0009657C" w:rsidRDefault="00721388" w:rsidP="000E7749">
            <w:pPr>
              <w:suppressAutoHyphens/>
              <w:rPr>
                <w:rFonts w:ascii="CorpoS" w:hAnsi="CorpoS"/>
                <w:b/>
                <w:sz w:val="22"/>
                <w:szCs w:val="22"/>
                <w:lang w:val="en-US"/>
              </w:rPr>
            </w:pPr>
            <w:r>
              <w:rPr>
                <w:rFonts w:ascii="CorpoS" w:hAnsi="CorpoS"/>
                <w:b/>
                <w:sz w:val="22"/>
                <w:szCs w:val="22"/>
                <w:lang w:val="en-US"/>
              </w:rPr>
              <w:t>Order backlog</w:t>
            </w:r>
          </w:p>
        </w:tc>
        <w:tc>
          <w:tcPr>
            <w:tcW w:w="1134" w:type="dxa"/>
            <w:tcBorders>
              <w:left w:val="single" w:sz="4" w:space="0" w:color="auto"/>
              <w:right w:val="single" w:sz="4" w:space="0" w:color="auto"/>
            </w:tcBorders>
          </w:tcPr>
          <w:p w14:paraId="68DF9818" w14:textId="77777777" w:rsidR="00721388" w:rsidRPr="0009657C"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64DACA8D" w14:textId="77777777" w:rsidR="00721388" w:rsidRPr="0009657C"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8996A66" w14:textId="40C913C0"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12,493.7</w:t>
            </w:r>
          </w:p>
        </w:tc>
        <w:tc>
          <w:tcPr>
            <w:tcW w:w="1276" w:type="dxa"/>
            <w:tcBorders>
              <w:top w:val="single" w:sz="4" w:space="0" w:color="auto"/>
              <w:bottom w:val="single" w:sz="4" w:space="0" w:color="auto"/>
            </w:tcBorders>
            <w:shd w:val="clear" w:color="auto" w:fill="auto"/>
            <w:vAlign w:val="center"/>
          </w:tcPr>
          <w:p w14:paraId="7093A976" w14:textId="24F3FE5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11,153.0</w:t>
            </w:r>
          </w:p>
        </w:tc>
        <w:tc>
          <w:tcPr>
            <w:tcW w:w="1418" w:type="dxa"/>
            <w:tcBorders>
              <w:top w:val="single" w:sz="4" w:space="0" w:color="auto"/>
              <w:bottom w:val="single" w:sz="4" w:space="0" w:color="auto"/>
              <w:right w:val="single" w:sz="18" w:space="0" w:color="auto"/>
            </w:tcBorders>
            <w:shd w:val="clear" w:color="auto" w:fill="auto"/>
            <w:vAlign w:val="center"/>
          </w:tcPr>
          <w:p w14:paraId="6BD90EF9" w14:textId="23D3172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- 10.7%</w:t>
            </w:r>
          </w:p>
        </w:tc>
      </w:tr>
      <w:tr w:rsidR="00721388" w:rsidRPr="0009657C" w14:paraId="4B38B852" w14:textId="77777777" w:rsidTr="00DE3D5A">
        <w:tc>
          <w:tcPr>
            <w:tcW w:w="3969" w:type="dxa"/>
            <w:tcBorders>
              <w:right w:val="single" w:sz="4" w:space="0" w:color="auto"/>
            </w:tcBorders>
            <w:shd w:val="clear" w:color="auto" w:fill="auto"/>
          </w:tcPr>
          <w:p w14:paraId="4FD35863" w14:textId="3D95FBEE" w:rsidR="00721388" w:rsidRPr="0009657C" w:rsidRDefault="00721388" w:rsidP="0043597D">
            <w:pPr>
              <w:suppressAutoHyphens/>
              <w:ind w:firstLine="176"/>
              <w:rPr>
                <w:rFonts w:ascii="CorpoS" w:hAnsi="CorpoS"/>
                <w:sz w:val="22"/>
                <w:szCs w:val="22"/>
                <w:lang w:val="en-US"/>
              </w:rPr>
            </w:pP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tcPr>
          <w:p w14:paraId="79F2ABEC" w14:textId="77777777" w:rsidR="00721388" w:rsidRPr="0009657C"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6DBA7FDB" w14:textId="77777777" w:rsidR="00721388" w:rsidRPr="0009657C"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26C7EFF8" w14:textId="47E3346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6,830.6</w:t>
            </w:r>
          </w:p>
        </w:tc>
        <w:tc>
          <w:tcPr>
            <w:tcW w:w="1276" w:type="dxa"/>
            <w:tcBorders>
              <w:top w:val="single" w:sz="4" w:space="0" w:color="auto"/>
              <w:bottom w:val="single" w:sz="4" w:space="0" w:color="auto"/>
            </w:tcBorders>
            <w:shd w:val="clear" w:color="auto" w:fill="auto"/>
            <w:vAlign w:val="center"/>
          </w:tcPr>
          <w:p w14:paraId="5F4DB6DD" w14:textId="2D078F65"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5,842.9</w:t>
            </w:r>
          </w:p>
        </w:tc>
        <w:tc>
          <w:tcPr>
            <w:tcW w:w="1418" w:type="dxa"/>
            <w:tcBorders>
              <w:top w:val="single" w:sz="4" w:space="0" w:color="auto"/>
              <w:bottom w:val="single" w:sz="4" w:space="0" w:color="auto"/>
              <w:right w:val="single" w:sz="18" w:space="0" w:color="auto"/>
            </w:tcBorders>
            <w:shd w:val="clear" w:color="auto" w:fill="auto"/>
            <w:vAlign w:val="center"/>
          </w:tcPr>
          <w:p w14:paraId="436D17D9" w14:textId="63396174"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- 14.5%</w:t>
            </w:r>
          </w:p>
        </w:tc>
      </w:tr>
      <w:tr w:rsidR="00721388" w:rsidRPr="0009657C" w14:paraId="100FBDCB" w14:textId="77777777" w:rsidTr="00DE3D5A">
        <w:tc>
          <w:tcPr>
            <w:tcW w:w="3969" w:type="dxa"/>
            <w:tcBorders>
              <w:right w:val="single" w:sz="4" w:space="0" w:color="auto"/>
            </w:tcBorders>
            <w:shd w:val="clear" w:color="auto" w:fill="auto"/>
          </w:tcPr>
          <w:p w14:paraId="5A040F7C" w14:textId="4935A8BB" w:rsidR="00721388" w:rsidRPr="0009657C" w:rsidRDefault="00721388" w:rsidP="0043597D">
            <w:pPr>
              <w:suppressAutoHyphens/>
              <w:ind w:firstLine="176"/>
              <w:rPr>
                <w:rFonts w:ascii="CorpoS" w:hAnsi="CorpoS"/>
                <w:sz w:val="22"/>
                <w:szCs w:val="22"/>
                <w:lang w:val="en-US"/>
              </w:rPr>
            </w:pPr>
            <w:r>
              <w:rPr>
                <w:rFonts w:ascii="CorpoS" w:hAnsi="CorpoS"/>
                <w:sz w:val="22"/>
                <w:szCs w:val="22"/>
                <w:lang w:val="en-US"/>
              </w:rPr>
              <w:t>of which commercial maintenance</w:t>
            </w:r>
          </w:p>
        </w:tc>
        <w:tc>
          <w:tcPr>
            <w:tcW w:w="1134" w:type="dxa"/>
            <w:tcBorders>
              <w:left w:val="single" w:sz="4" w:space="0" w:color="auto"/>
              <w:right w:val="single" w:sz="4" w:space="0" w:color="auto"/>
            </w:tcBorders>
          </w:tcPr>
          <w:p w14:paraId="68D2DEE3" w14:textId="77777777" w:rsidR="00721388" w:rsidRPr="0009657C"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7CBD984E" w14:textId="77777777" w:rsidR="00721388" w:rsidRPr="0009657C"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088F37B" w14:textId="35B57F0B"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5,663.1</w:t>
            </w:r>
          </w:p>
        </w:tc>
        <w:tc>
          <w:tcPr>
            <w:tcW w:w="1276" w:type="dxa"/>
            <w:tcBorders>
              <w:top w:val="single" w:sz="4" w:space="0" w:color="auto"/>
              <w:bottom w:val="single" w:sz="4" w:space="0" w:color="auto"/>
            </w:tcBorders>
            <w:shd w:val="clear" w:color="auto" w:fill="auto"/>
            <w:vAlign w:val="center"/>
          </w:tcPr>
          <w:p w14:paraId="70F174FF" w14:textId="02E1EE28"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5,310.1</w:t>
            </w:r>
          </w:p>
        </w:tc>
        <w:tc>
          <w:tcPr>
            <w:tcW w:w="1418" w:type="dxa"/>
            <w:tcBorders>
              <w:top w:val="single" w:sz="4" w:space="0" w:color="auto"/>
              <w:bottom w:val="single" w:sz="4" w:space="0" w:color="auto"/>
              <w:right w:val="single" w:sz="18" w:space="0" w:color="auto"/>
            </w:tcBorders>
            <w:shd w:val="clear" w:color="auto" w:fill="auto"/>
            <w:vAlign w:val="center"/>
          </w:tcPr>
          <w:p w14:paraId="7A224721" w14:textId="15B6C591"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- 6.2%</w:t>
            </w:r>
          </w:p>
        </w:tc>
      </w:tr>
      <w:tr w:rsidR="00511729" w:rsidRPr="0009657C" w14:paraId="4BAEF8F7" w14:textId="77777777" w:rsidTr="00DE3D5A">
        <w:trPr>
          <w:cantSplit/>
          <w:trHeight w:val="20"/>
        </w:trPr>
        <w:tc>
          <w:tcPr>
            <w:tcW w:w="3969" w:type="dxa"/>
            <w:tcBorders>
              <w:right w:val="single" w:sz="4" w:space="0" w:color="auto"/>
            </w:tcBorders>
            <w:shd w:val="clear" w:color="auto" w:fill="auto"/>
          </w:tcPr>
          <w:p w14:paraId="46F0D183" w14:textId="77777777" w:rsidR="00511729" w:rsidRPr="0009657C" w:rsidRDefault="00511729" w:rsidP="000E7749">
            <w:pPr>
              <w:suppressAutoHyphens/>
              <w:rPr>
                <w:rFonts w:ascii="CorpoS" w:hAnsi="CorpoS"/>
                <w:sz w:val="8"/>
                <w:szCs w:val="8"/>
                <w:lang w:val="en-US"/>
              </w:rPr>
            </w:pPr>
          </w:p>
        </w:tc>
        <w:tc>
          <w:tcPr>
            <w:tcW w:w="1134" w:type="dxa"/>
            <w:tcBorders>
              <w:left w:val="single" w:sz="4" w:space="0" w:color="auto"/>
              <w:right w:val="single" w:sz="4" w:space="0" w:color="auto"/>
            </w:tcBorders>
          </w:tcPr>
          <w:p w14:paraId="1FA27458" w14:textId="77777777" w:rsidR="00511729" w:rsidRPr="0009657C" w:rsidRDefault="00511729" w:rsidP="000E7749">
            <w:pPr>
              <w:suppressAutoHyphens/>
              <w:jc w:val="right"/>
              <w:rPr>
                <w:rFonts w:ascii="CorpoS" w:hAnsi="CorpoS"/>
                <w:sz w:val="8"/>
                <w:szCs w:val="8"/>
                <w:lang w:val="en-US"/>
              </w:rPr>
            </w:pPr>
          </w:p>
        </w:tc>
        <w:tc>
          <w:tcPr>
            <w:tcW w:w="1134" w:type="dxa"/>
            <w:tcBorders>
              <w:left w:val="single" w:sz="4" w:space="0" w:color="auto"/>
              <w:right w:val="single" w:sz="18" w:space="0" w:color="auto"/>
            </w:tcBorders>
          </w:tcPr>
          <w:p w14:paraId="36562112" w14:textId="77777777" w:rsidR="00511729" w:rsidRPr="0009657C" w:rsidRDefault="00511729" w:rsidP="000E7749">
            <w:pPr>
              <w:suppressAutoHyphens/>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213F85DC" w14:textId="77777777" w:rsidR="00511729" w:rsidRPr="0009657C" w:rsidRDefault="00511729" w:rsidP="000E7749">
            <w:pPr>
              <w:suppressAutoHyphens/>
              <w:ind w:firstLineChars="100" w:firstLine="80"/>
              <w:jc w:val="right"/>
              <w:rPr>
                <w:rFonts w:ascii="CorpoS" w:hAnsi="CorpoS" w:cs="Arial"/>
                <w:sz w:val="8"/>
                <w:szCs w:val="8"/>
                <w:lang w:val="en-US"/>
              </w:rPr>
            </w:pPr>
            <w:r w:rsidRPr="0009657C">
              <w:rPr>
                <w:rFonts w:ascii="CorpoS" w:hAnsi="CorpoS" w:cs="Arial"/>
                <w:sz w:val="8"/>
                <w:szCs w:val="8"/>
                <w:lang w:val="en-US"/>
              </w:rPr>
              <w:t> </w:t>
            </w:r>
          </w:p>
        </w:tc>
        <w:tc>
          <w:tcPr>
            <w:tcW w:w="1276" w:type="dxa"/>
            <w:tcBorders>
              <w:top w:val="single" w:sz="4" w:space="0" w:color="auto"/>
              <w:bottom w:val="single" w:sz="4" w:space="0" w:color="auto"/>
            </w:tcBorders>
            <w:shd w:val="clear" w:color="auto" w:fill="auto"/>
            <w:vAlign w:val="center"/>
          </w:tcPr>
          <w:p w14:paraId="1CFF05FE" w14:textId="77777777" w:rsidR="00511729" w:rsidRPr="0009657C" w:rsidRDefault="00511729" w:rsidP="000E7749">
            <w:pPr>
              <w:suppressAutoHyphens/>
              <w:ind w:firstLineChars="100" w:firstLine="80"/>
              <w:jc w:val="right"/>
              <w:rPr>
                <w:rFonts w:ascii="CorpoS" w:hAnsi="CorpoS" w:cs="Arial"/>
                <w:sz w:val="8"/>
                <w:szCs w:val="8"/>
                <w:lang w:val="en-US"/>
              </w:rPr>
            </w:pPr>
            <w:r w:rsidRPr="0009657C">
              <w:rPr>
                <w:rFonts w:ascii="CorpoS" w:hAnsi="CorpoS" w:cs="Arial"/>
                <w:sz w:val="8"/>
                <w:szCs w:val="8"/>
                <w:lang w:val="en-US"/>
              </w:rPr>
              <w:t> </w:t>
            </w:r>
          </w:p>
        </w:tc>
        <w:tc>
          <w:tcPr>
            <w:tcW w:w="1418" w:type="dxa"/>
            <w:tcBorders>
              <w:top w:val="single" w:sz="4" w:space="0" w:color="auto"/>
              <w:bottom w:val="single" w:sz="4" w:space="0" w:color="auto"/>
              <w:right w:val="single" w:sz="18" w:space="0" w:color="auto"/>
            </w:tcBorders>
            <w:shd w:val="clear" w:color="auto" w:fill="auto"/>
            <w:vAlign w:val="center"/>
          </w:tcPr>
          <w:p w14:paraId="7E95962B" w14:textId="77777777" w:rsidR="00511729" w:rsidRPr="0009657C" w:rsidRDefault="00511729" w:rsidP="000E7749">
            <w:pPr>
              <w:suppressAutoHyphens/>
              <w:ind w:firstLineChars="100" w:firstLine="80"/>
              <w:jc w:val="right"/>
              <w:rPr>
                <w:rFonts w:ascii="CorpoS" w:hAnsi="CorpoS" w:cs="Arial"/>
                <w:sz w:val="8"/>
                <w:szCs w:val="8"/>
                <w:lang w:val="en-US"/>
              </w:rPr>
            </w:pPr>
            <w:r w:rsidRPr="0009657C">
              <w:rPr>
                <w:rFonts w:ascii="CorpoS" w:hAnsi="CorpoS" w:cs="Arial"/>
                <w:sz w:val="8"/>
                <w:szCs w:val="8"/>
                <w:lang w:val="en-US"/>
              </w:rPr>
              <w:t> </w:t>
            </w:r>
          </w:p>
        </w:tc>
      </w:tr>
      <w:tr w:rsidR="00721388" w:rsidRPr="0009657C" w14:paraId="00591F7E" w14:textId="77777777" w:rsidTr="00DE3D5A">
        <w:tc>
          <w:tcPr>
            <w:tcW w:w="3969" w:type="dxa"/>
            <w:tcBorders>
              <w:right w:val="single" w:sz="4" w:space="0" w:color="auto"/>
            </w:tcBorders>
            <w:shd w:val="clear" w:color="auto" w:fill="auto"/>
          </w:tcPr>
          <w:p w14:paraId="1291F3A0" w14:textId="7CFB6E51" w:rsidR="00721388" w:rsidRPr="0009657C" w:rsidRDefault="00721388" w:rsidP="000E7749">
            <w:pPr>
              <w:suppressAutoHyphens/>
              <w:rPr>
                <w:rFonts w:ascii="CorpoS" w:hAnsi="CorpoS"/>
                <w:b/>
                <w:sz w:val="22"/>
                <w:szCs w:val="22"/>
                <w:lang w:val="en-US"/>
              </w:rPr>
            </w:pPr>
            <w:r>
              <w:rPr>
                <w:rFonts w:ascii="CorpoS" w:hAnsi="CorpoS"/>
                <w:b/>
                <w:sz w:val="22"/>
                <w:szCs w:val="22"/>
                <w:lang w:val="en-US"/>
              </w:rPr>
              <w:t>Employees</w:t>
            </w:r>
          </w:p>
        </w:tc>
        <w:tc>
          <w:tcPr>
            <w:tcW w:w="1134" w:type="dxa"/>
            <w:tcBorders>
              <w:left w:val="single" w:sz="4" w:space="0" w:color="auto"/>
              <w:right w:val="single" w:sz="4" w:space="0" w:color="auto"/>
            </w:tcBorders>
          </w:tcPr>
          <w:p w14:paraId="043BF714" w14:textId="77777777" w:rsidR="00721388" w:rsidRPr="0009657C" w:rsidRDefault="00721388" w:rsidP="000E7749">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0B82655A" w14:textId="77777777" w:rsidR="00721388" w:rsidRPr="0009657C" w:rsidRDefault="00721388" w:rsidP="000E7749">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18" w:space="0" w:color="auto"/>
            </w:tcBorders>
            <w:shd w:val="clear" w:color="auto" w:fill="auto"/>
            <w:vAlign w:val="center"/>
          </w:tcPr>
          <w:p w14:paraId="2476F22F" w14:textId="4382C968"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8,334</w:t>
            </w:r>
          </w:p>
        </w:tc>
        <w:tc>
          <w:tcPr>
            <w:tcW w:w="1276" w:type="dxa"/>
            <w:tcBorders>
              <w:top w:val="single" w:sz="4" w:space="0" w:color="auto"/>
              <w:bottom w:val="single" w:sz="18" w:space="0" w:color="auto"/>
            </w:tcBorders>
            <w:shd w:val="clear" w:color="auto" w:fill="auto"/>
            <w:vAlign w:val="center"/>
          </w:tcPr>
          <w:p w14:paraId="0235A94E" w14:textId="365DAE8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8,380</w:t>
            </w:r>
          </w:p>
        </w:tc>
        <w:tc>
          <w:tcPr>
            <w:tcW w:w="1418" w:type="dxa"/>
            <w:tcBorders>
              <w:top w:val="single" w:sz="4" w:space="0" w:color="auto"/>
              <w:bottom w:val="single" w:sz="18" w:space="0" w:color="auto"/>
              <w:right w:val="single" w:sz="18" w:space="0" w:color="auto"/>
            </w:tcBorders>
            <w:shd w:val="clear" w:color="auto" w:fill="auto"/>
            <w:vAlign w:val="center"/>
          </w:tcPr>
          <w:p w14:paraId="5FACB99A" w14:textId="095BD289" w:rsidR="00721388" w:rsidRPr="0009657C" w:rsidRDefault="00721388" w:rsidP="000E7749">
            <w:pPr>
              <w:suppressAutoHyphens/>
              <w:ind w:firstLineChars="100" w:firstLine="220"/>
              <w:jc w:val="right"/>
              <w:rPr>
                <w:rFonts w:ascii="CorpoS" w:hAnsi="CorpoS" w:cs="Arial"/>
                <w:sz w:val="22"/>
                <w:szCs w:val="22"/>
                <w:lang w:val="en-US"/>
              </w:rPr>
            </w:pPr>
            <w:r>
              <w:rPr>
                <w:rFonts w:ascii="CorpoS" w:hAnsi="CorpoS" w:cs="Arial"/>
                <w:sz w:val="22"/>
                <w:szCs w:val="22"/>
              </w:rPr>
              <w:t>+ 0.6%</w:t>
            </w:r>
          </w:p>
        </w:tc>
      </w:tr>
    </w:tbl>
    <w:p w14:paraId="7619E762" w14:textId="77777777" w:rsidR="00511729" w:rsidRPr="0009657C" w:rsidRDefault="00511729" w:rsidP="000E7749">
      <w:pPr>
        <w:suppressAutoHyphens/>
        <w:ind w:right="1984"/>
        <w:jc w:val="both"/>
        <w:rPr>
          <w:rFonts w:ascii="CorpoS" w:hAnsi="CorpoS"/>
          <w:lang w:val="en-US"/>
        </w:rPr>
      </w:pPr>
    </w:p>
    <w:p w14:paraId="1CA8CD2A" w14:textId="77777777" w:rsidR="00701A70" w:rsidRDefault="00701A70" w:rsidP="00701A70">
      <w:pPr>
        <w:ind w:right="1984"/>
        <w:jc w:val="both"/>
        <w:rPr>
          <w:rFonts w:ascii="CorpoS" w:hAnsi="CorpoS"/>
          <w:b/>
          <w:sz w:val="20"/>
          <w:u w:val="single"/>
          <w:lang w:val="en-US"/>
        </w:rPr>
      </w:pPr>
    </w:p>
    <w:p w14:paraId="12D37869" w14:textId="77777777" w:rsidR="00701A70" w:rsidRDefault="00701A70" w:rsidP="00701A70">
      <w:pPr>
        <w:ind w:right="1984"/>
        <w:jc w:val="both"/>
        <w:rPr>
          <w:rFonts w:ascii="CorpoS" w:hAnsi="CorpoS"/>
          <w:b/>
          <w:sz w:val="20"/>
          <w:u w:val="single"/>
          <w:lang w:val="en-US"/>
        </w:rPr>
      </w:pPr>
    </w:p>
    <w:p w14:paraId="55BF17CE" w14:textId="77777777" w:rsidR="00701A70" w:rsidRDefault="00701A70" w:rsidP="00701A70">
      <w:pPr>
        <w:ind w:right="1984"/>
        <w:jc w:val="both"/>
        <w:rPr>
          <w:rFonts w:ascii="CorpoS" w:hAnsi="CorpoS"/>
          <w:b/>
          <w:sz w:val="20"/>
          <w:u w:val="single"/>
          <w:lang w:val="en-US"/>
        </w:rPr>
      </w:pPr>
    </w:p>
    <w:p w14:paraId="2CF39234" w14:textId="77777777" w:rsidR="00701A70" w:rsidRPr="00A903B7" w:rsidRDefault="00701A70" w:rsidP="00701A70">
      <w:pPr>
        <w:ind w:right="1984"/>
        <w:jc w:val="both"/>
        <w:rPr>
          <w:rFonts w:ascii="CorpoS" w:hAnsi="CorpoS"/>
          <w:b/>
          <w:sz w:val="20"/>
          <w:u w:val="single"/>
          <w:lang w:val="en-US"/>
        </w:rPr>
      </w:pPr>
      <w:r w:rsidRPr="00A903B7">
        <w:rPr>
          <w:rFonts w:ascii="CorpoS" w:hAnsi="CorpoS"/>
          <w:b/>
          <w:sz w:val="20"/>
          <w:u w:val="single"/>
          <w:lang w:val="en-US"/>
        </w:rPr>
        <w:lastRenderedPageBreak/>
        <w:t>About MTU Aero Engines</w:t>
      </w:r>
    </w:p>
    <w:p w14:paraId="173CACB6" w14:textId="77777777" w:rsidR="00701A70" w:rsidRPr="004A16B7" w:rsidRDefault="00701A70" w:rsidP="00701A70">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w:t>
      </w:r>
      <w:r w:rsidRPr="00A903B7">
        <w:rPr>
          <w:rFonts w:ascii="CorpoS" w:hAnsi="CorpoS"/>
          <w:sz w:val="20"/>
          <w:lang w:val="en-US"/>
        </w:rPr>
        <w:t>r</w:t>
      </w:r>
      <w:r w:rsidRPr="00A903B7">
        <w:rPr>
          <w:rFonts w:ascii="CorpoS" w:hAnsi="CorpoS"/>
          <w:sz w:val="20"/>
          <w:lang w:val="en-US"/>
        </w:rPr>
        <w:t>bines, high-pressure compressors, turbine center frames, manufacturing processes and repair techniques. MTU plays a key role in the new engine market through its partnership in many international development, manufacturing and sales programs, to which it co</w:t>
      </w:r>
      <w:r w:rsidRPr="00A903B7">
        <w:rPr>
          <w:rFonts w:ascii="CorpoS" w:hAnsi="CorpoS"/>
          <w:sz w:val="20"/>
          <w:lang w:val="en-US"/>
        </w:rPr>
        <w:t>n</w:t>
      </w:r>
      <w:r w:rsidRPr="00A903B7">
        <w:rPr>
          <w:rFonts w:ascii="CorpoS" w:hAnsi="CorpoS"/>
          <w:sz w:val="20"/>
          <w:lang w:val="en-US"/>
        </w:rPr>
        <w:t>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A903B7">
        <w:rPr>
          <w:rFonts w:ascii="CorpoS" w:hAnsi="CorpoS"/>
          <w:sz w:val="20"/>
          <w:lang w:val="en-US"/>
        </w:rPr>
        <w:t>m</w:t>
      </w:r>
      <w:r w:rsidRPr="00A903B7">
        <w:rPr>
          <w:rFonts w:ascii="CorpoS" w:hAnsi="CorpoS"/>
          <w:sz w:val="20"/>
          <w:lang w:val="en-US"/>
        </w:rPr>
        <w:t xml:space="preserve">bined under the roof of MTU Maintenance. In the military sector, MTU Aero Engines </w:t>
      </w:r>
      <w:r w:rsidRPr="00A903B7">
        <w:rPr>
          <w:rStyle w:val="Standard"/>
          <w:rFonts w:ascii="CorpoS" w:hAnsi="CorpoS"/>
          <w:sz w:val="20"/>
          <w:lang w:val="en-US"/>
        </w:rPr>
        <w:t>is the lead industrial par</w:t>
      </w:r>
      <w:r w:rsidRPr="00A903B7">
        <w:rPr>
          <w:rStyle w:val="Standard"/>
          <w:rFonts w:ascii="CorpoS" w:hAnsi="CorpoS"/>
          <w:sz w:val="20"/>
          <w:lang w:val="en-US"/>
        </w:rPr>
        <w:t>t</w:t>
      </w:r>
      <w:r w:rsidRPr="00A903B7">
        <w:rPr>
          <w:rStyle w:val="Standard"/>
          <w:rFonts w:ascii="CorpoS" w:hAnsi="CorpoS"/>
          <w:sz w:val="20"/>
          <w:lang w:val="en-US"/>
        </w:rPr>
        <w:t xml:space="preserve">ner for almost every type of engine flown by the German armed forces. </w:t>
      </w:r>
      <w:r w:rsidRPr="00A903B7">
        <w:rPr>
          <w:rFonts w:ascii="CorpoS" w:hAnsi="CorpoS"/>
          <w:sz w:val="20"/>
          <w:lang w:val="en-US"/>
        </w:rPr>
        <w:t>MTU operates affiliates around the globe; its corporate headquarters are based in Munich, Ge</w:t>
      </w:r>
      <w:r w:rsidRPr="00A903B7">
        <w:rPr>
          <w:rFonts w:ascii="CorpoS" w:hAnsi="CorpoS"/>
          <w:sz w:val="20"/>
          <w:lang w:val="en-US"/>
        </w:rPr>
        <w:t>r</w:t>
      </w:r>
      <w:r w:rsidRPr="00A903B7">
        <w:rPr>
          <w:rFonts w:ascii="CorpoS" w:hAnsi="CorpoS"/>
          <w:sz w:val="20"/>
          <w:lang w:val="en-US"/>
        </w:rPr>
        <w:t>many.</w:t>
      </w:r>
    </w:p>
    <w:p w14:paraId="0DBA711A" w14:textId="77777777" w:rsidR="00701A70" w:rsidRPr="004A16B7" w:rsidRDefault="00701A70" w:rsidP="00701A70">
      <w:pPr>
        <w:ind w:right="424"/>
        <w:jc w:val="both"/>
        <w:rPr>
          <w:rFonts w:ascii="CorpoS" w:hAnsi="CorpoS"/>
          <w:sz w:val="20"/>
          <w:lang w:val="en-US"/>
        </w:rPr>
      </w:pPr>
    </w:p>
    <w:p w14:paraId="4491A1A6" w14:textId="77777777" w:rsidR="00701A70" w:rsidRPr="004A16B7" w:rsidRDefault="00701A70" w:rsidP="00701A70">
      <w:pPr>
        <w:tabs>
          <w:tab w:val="left" w:pos="7230"/>
          <w:tab w:val="left" w:pos="7938"/>
          <w:tab w:val="left" w:pos="8080"/>
        </w:tabs>
        <w:ind w:right="1558"/>
        <w:jc w:val="both"/>
        <w:rPr>
          <w:rFonts w:ascii="CorpoS" w:hAnsi="CorpoS"/>
          <w:sz w:val="20"/>
          <w:lang w:val="en-US"/>
        </w:rPr>
      </w:pPr>
      <w:r w:rsidRPr="00833E68">
        <w:rPr>
          <w:rFonts w:ascii="CorpoS" w:hAnsi="CorpoS"/>
          <w:sz w:val="20"/>
          <w:lang w:val="en-US"/>
        </w:rPr>
        <w:t>Geared Turbofan</w:t>
      </w:r>
      <w:r w:rsidRPr="004A16B7">
        <w:rPr>
          <w:rFonts w:ascii="CorpoS" w:hAnsi="CorpoS"/>
          <w:sz w:val="20"/>
          <w:lang w:val="en-US"/>
        </w:rPr>
        <w:t xml:space="preserve"> is a trademark application of Pratt &amp; Whitney</w:t>
      </w:r>
    </w:p>
    <w:p w14:paraId="21F347C8" w14:textId="77777777" w:rsidR="00701A70" w:rsidRPr="004A16B7" w:rsidRDefault="00701A70" w:rsidP="00701A70">
      <w:pPr>
        <w:ind w:right="424"/>
        <w:jc w:val="both"/>
        <w:rPr>
          <w:rFonts w:ascii="CorpoS" w:hAnsi="CorpoS" w:cs="Arial"/>
          <w:sz w:val="20"/>
          <w:lang w:val="en-US"/>
        </w:rPr>
      </w:pPr>
    </w:p>
    <w:p w14:paraId="0D157B68" w14:textId="77777777" w:rsidR="00701A70" w:rsidRPr="004A16B7" w:rsidRDefault="00701A70" w:rsidP="00701A70">
      <w:pPr>
        <w:ind w:right="424"/>
        <w:jc w:val="both"/>
        <w:rPr>
          <w:rFonts w:ascii="CorpoS" w:hAnsi="CorpoS" w:cs="Arial"/>
          <w:sz w:val="20"/>
          <w:lang w:val="en-US"/>
        </w:rPr>
      </w:pPr>
    </w:p>
    <w:p w14:paraId="0C2BFDA8" w14:textId="77777777" w:rsidR="00701A70" w:rsidRPr="00A903B7" w:rsidRDefault="00701A70" w:rsidP="00701A70">
      <w:pPr>
        <w:rPr>
          <w:rFonts w:ascii="CorpoS" w:hAnsi="CorpoS"/>
          <w:sz w:val="20"/>
          <w:u w:val="single"/>
          <w:lang w:val="en-US"/>
        </w:rPr>
      </w:pPr>
      <w:r w:rsidRPr="00A903B7">
        <w:rPr>
          <w:rFonts w:ascii="CorpoS" w:hAnsi="CorpoS"/>
          <w:sz w:val="20"/>
          <w:u w:val="single"/>
          <w:lang w:val="en-US"/>
        </w:rPr>
        <w:t>Contacts:</w:t>
      </w:r>
    </w:p>
    <w:p w14:paraId="0EAEC457" w14:textId="77777777" w:rsidR="00701A70" w:rsidRPr="00A903B7" w:rsidRDefault="00701A70" w:rsidP="00701A70">
      <w:pPr>
        <w:rPr>
          <w:rFonts w:ascii="CorpoS" w:hAnsi="CorpoS"/>
          <w:sz w:val="20"/>
          <w:lang w:val="en-US"/>
        </w:rPr>
      </w:pPr>
      <w:r w:rsidRPr="00A903B7">
        <w:rPr>
          <w:rFonts w:ascii="CorpoS" w:hAnsi="CorpoS"/>
          <w:sz w:val="20"/>
          <w:lang w:val="en-US"/>
        </w:rPr>
        <w:t xml:space="preserve">Eckhard </w:t>
      </w:r>
      <w:proofErr w:type="spellStart"/>
      <w:r w:rsidRPr="00A903B7">
        <w:rPr>
          <w:rFonts w:ascii="CorpoS" w:hAnsi="CorpoS"/>
          <w:sz w:val="20"/>
          <w:lang w:val="en-US"/>
        </w:rPr>
        <w:t>Zanger</w:t>
      </w:r>
      <w:proofErr w:type="spellEnd"/>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Eva Simon</w:t>
      </w:r>
    </w:p>
    <w:p w14:paraId="61AEFAD2" w14:textId="77777777" w:rsidR="00701A70" w:rsidRPr="00A903B7" w:rsidRDefault="00701A70" w:rsidP="00701A70">
      <w:pPr>
        <w:rPr>
          <w:rFonts w:ascii="CorpoS" w:hAnsi="CorpoS"/>
          <w:sz w:val="20"/>
          <w:lang w:val="en-US"/>
        </w:rPr>
      </w:pPr>
      <w:r w:rsidRPr="00A903B7">
        <w:rPr>
          <w:rFonts w:ascii="CorpoS" w:hAnsi="CorpoS"/>
          <w:sz w:val="20"/>
          <w:lang w:val="en-US"/>
        </w:rPr>
        <w:t>Senior Vice President Corporate Communications</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Press Officer Finance</w:t>
      </w:r>
    </w:p>
    <w:p w14:paraId="10D9337E" w14:textId="77777777" w:rsidR="00701A70" w:rsidRPr="00A903B7" w:rsidRDefault="00701A70" w:rsidP="00701A70">
      <w:pPr>
        <w:rPr>
          <w:rFonts w:ascii="CorpoS" w:hAnsi="CorpoS"/>
          <w:sz w:val="20"/>
          <w:lang w:val="en-US"/>
        </w:rPr>
      </w:pPr>
      <w:r w:rsidRPr="00A903B7">
        <w:rPr>
          <w:rFonts w:ascii="CorpoS" w:hAnsi="CorpoS"/>
          <w:sz w:val="20"/>
          <w:lang w:val="en-US"/>
        </w:rPr>
        <w:t>and Public Affairs</w:t>
      </w:r>
    </w:p>
    <w:p w14:paraId="77991D25" w14:textId="77777777" w:rsidR="00701A70" w:rsidRPr="00A903B7" w:rsidRDefault="00701A70" w:rsidP="00701A70">
      <w:pPr>
        <w:rPr>
          <w:rFonts w:ascii="CorpoS" w:hAnsi="CorpoS"/>
          <w:sz w:val="20"/>
          <w:lang w:val="en-US"/>
        </w:rPr>
      </w:pPr>
      <w:r w:rsidRPr="00A903B7">
        <w:rPr>
          <w:rFonts w:ascii="CorpoS" w:hAnsi="CorpoS"/>
          <w:sz w:val="20"/>
          <w:lang w:val="en-US"/>
        </w:rPr>
        <w:t>Phone: + 49 (0)89 14 89-91 13</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Phone: +49 (0)89 14 89-43 32</w:t>
      </w:r>
      <w:r w:rsidRPr="00A903B7">
        <w:rPr>
          <w:rFonts w:ascii="CorpoS" w:hAnsi="CorpoS"/>
          <w:sz w:val="20"/>
          <w:lang w:val="en-US"/>
        </w:rPr>
        <w:tab/>
      </w:r>
    </w:p>
    <w:p w14:paraId="4800135F" w14:textId="77777777" w:rsidR="00701A70" w:rsidRPr="00A903B7" w:rsidRDefault="00701A70" w:rsidP="00701A70">
      <w:pPr>
        <w:rPr>
          <w:rFonts w:ascii="CorpoS" w:hAnsi="CorpoS"/>
          <w:sz w:val="20"/>
          <w:lang w:val="en-US"/>
        </w:rPr>
      </w:pPr>
      <w:r w:rsidRPr="00A903B7">
        <w:rPr>
          <w:rFonts w:ascii="CorpoS" w:hAnsi="CorpoS"/>
          <w:sz w:val="20"/>
          <w:lang w:val="en-US"/>
        </w:rPr>
        <w:t>Mobile: + 49 (0) 176-1000 6158</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Mobile: +49 (0) 176-1008 4162</w:t>
      </w:r>
    </w:p>
    <w:p w14:paraId="45F3F1D0" w14:textId="77777777" w:rsidR="00701A70" w:rsidRPr="00A903B7" w:rsidRDefault="00701A70" w:rsidP="00701A70">
      <w:pPr>
        <w:rPr>
          <w:rFonts w:ascii="CorpoS" w:hAnsi="CorpoS"/>
          <w:sz w:val="20"/>
          <w:lang w:val="en-US"/>
        </w:rPr>
      </w:pPr>
      <w:r w:rsidRPr="00A903B7">
        <w:rPr>
          <w:rFonts w:ascii="CorpoS" w:hAnsi="CorpoS"/>
          <w:sz w:val="20"/>
          <w:lang w:val="en-US"/>
        </w:rPr>
        <w:t xml:space="preserve">Email: Eckhard.Zanger@mtu.de  </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Email: Eva.Simon@mtu.de</w:t>
      </w:r>
    </w:p>
    <w:p w14:paraId="3A908B49" w14:textId="77777777" w:rsidR="00701A70" w:rsidRPr="00A903B7" w:rsidRDefault="00701A70" w:rsidP="00701A70">
      <w:pPr>
        <w:rPr>
          <w:rFonts w:ascii="CorpoS" w:hAnsi="CorpoS"/>
          <w:sz w:val="20"/>
          <w:lang w:val="en-US"/>
        </w:rPr>
      </w:pPr>
    </w:p>
    <w:p w14:paraId="563C3760" w14:textId="77777777" w:rsidR="00701A70" w:rsidRPr="00A903B7" w:rsidRDefault="00701A70" w:rsidP="00701A70">
      <w:pPr>
        <w:pStyle w:val="MTUBodycopy"/>
        <w:tabs>
          <w:tab w:val="left" w:pos="8505"/>
        </w:tabs>
        <w:ind w:right="1984"/>
        <w:jc w:val="both"/>
        <w:rPr>
          <w:i/>
          <w:lang w:val="en-US"/>
        </w:rPr>
      </w:pPr>
    </w:p>
    <w:p w14:paraId="5F253F21" w14:textId="77777777" w:rsidR="00701A70" w:rsidRPr="00A903B7" w:rsidRDefault="00701A70" w:rsidP="00701A70">
      <w:pPr>
        <w:pStyle w:val="MTUBodycopy"/>
        <w:tabs>
          <w:tab w:val="left" w:pos="8505"/>
        </w:tabs>
        <w:ind w:right="1984"/>
        <w:jc w:val="both"/>
        <w:rPr>
          <w:i/>
          <w:lang w:val="en-US"/>
        </w:rPr>
      </w:pPr>
      <w:r w:rsidRPr="00A903B7">
        <w:rPr>
          <w:i/>
          <w:lang w:val="en-US"/>
        </w:rPr>
        <w:t xml:space="preserve">Press archive and photos </w:t>
      </w:r>
      <w:hyperlink r:id="rId9" w:history="1">
        <w:r w:rsidRPr="00A903B7">
          <w:rPr>
            <w:rStyle w:val="Hyperlink"/>
            <w:i/>
            <w:lang w:val="en-US"/>
          </w:rPr>
          <w:t>http://www.mtu.de</w:t>
        </w:r>
      </w:hyperlink>
    </w:p>
    <w:p w14:paraId="32F3CC5A" w14:textId="77777777" w:rsidR="00701A70" w:rsidRPr="00A903B7" w:rsidRDefault="00701A70" w:rsidP="00701A70">
      <w:pPr>
        <w:rPr>
          <w:rFonts w:ascii="CorpoS" w:hAnsi="CorpoS"/>
          <w:sz w:val="20"/>
          <w:lang w:val="en-US"/>
        </w:rPr>
      </w:pPr>
    </w:p>
    <w:p w14:paraId="4DF359BC" w14:textId="77777777" w:rsidR="00701A70" w:rsidRPr="00A903B7" w:rsidRDefault="00701A70" w:rsidP="00701A70">
      <w:pPr>
        <w:rPr>
          <w:rStyle w:val="h41"/>
          <w:rFonts w:ascii="CorpoS" w:hAnsi="CorpoS"/>
          <w:sz w:val="16"/>
          <w:szCs w:val="16"/>
          <w:lang w:val="en-US"/>
        </w:rPr>
      </w:pPr>
    </w:p>
    <w:p w14:paraId="0BC64E40" w14:textId="77777777" w:rsidR="00701A70" w:rsidRPr="00A903B7" w:rsidRDefault="00701A70" w:rsidP="00701A70">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51B4B5A1" w14:textId="77777777" w:rsidR="00701A70" w:rsidRPr="004A16B7" w:rsidRDefault="00701A70" w:rsidP="00701A70">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2EBFA4FB" w14:textId="77777777" w:rsidR="00970F2A" w:rsidRPr="0009657C" w:rsidRDefault="00970F2A" w:rsidP="000E7749">
      <w:pPr>
        <w:suppressAutoHyphens/>
        <w:ind w:right="1984"/>
        <w:jc w:val="both"/>
        <w:rPr>
          <w:rFonts w:ascii="CorpoS" w:hAnsi="CorpoS"/>
          <w:lang w:val="en-US"/>
        </w:rPr>
      </w:pPr>
    </w:p>
    <w:sectPr w:rsidR="00970F2A" w:rsidRPr="0009657C"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17D43F" w15:done="0"/>
  <w15:commentEx w15:paraId="1C98C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D183C" w14:textId="77777777" w:rsidR="008612D6" w:rsidRDefault="008612D6">
      <w:r>
        <w:separator/>
      </w:r>
    </w:p>
  </w:endnote>
  <w:endnote w:type="continuationSeparator" w:id="0">
    <w:p w14:paraId="220FBDBC" w14:textId="77777777"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37DF"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464F"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8440810"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34F60C9A" w14:textId="77777777"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14:paraId="5E4E5206" w14:textId="77777777"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7DADA776"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9FE60AB"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7ECF2AE7"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6CADD541"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1CBEB" w14:textId="77777777" w:rsidR="008612D6" w:rsidRDefault="008612D6">
      <w:r>
        <w:separator/>
      </w:r>
    </w:p>
  </w:footnote>
  <w:footnote w:type="continuationSeparator" w:id="0">
    <w:p w14:paraId="78B31091" w14:textId="77777777" w:rsidR="008612D6" w:rsidRDefault="008612D6">
      <w:r>
        <w:continuationSeparator/>
      </w:r>
    </w:p>
  </w:footnote>
  <w:footnote w:id="1">
    <w:p w14:paraId="10A99EBF" w14:textId="77777777" w:rsidR="0009657C" w:rsidRPr="00F7258D" w:rsidRDefault="0009657C" w:rsidP="0009657C">
      <w:pPr>
        <w:pStyle w:val="Funotentext"/>
        <w:rPr>
          <w:rFonts w:ascii="CorpoS" w:hAnsi="CorpoS"/>
          <w:b/>
          <w:sz w:val="16"/>
          <w:szCs w:val="16"/>
          <w:lang w:val="en-US"/>
        </w:rPr>
      </w:pPr>
      <w:r>
        <w:rPr>
          <w:rStyle w:val="Funotenzeichen"/>
          <w:rFonts w:ascii="CorpoS" w:hAnsi="CorpoS"/>
          <w:b/>
          <w:sz w:val="16"/>
          <w:szCs w:val="16"/>
        </w:rPr>
        <w:footnoteRef/>
      </w:r>
      <w:r w:rsidRPr="000E7749">
        <w:rPr>
          <w:rFonts w:ascii="CorpoS" w:hAnsi="CorpoS"/>
          <w:b/>
          <w:sz w:val="16"/>
          <w:szCs w:val="16"/>
          <w:lang w:val="en-US"/>
        </w:rPr>
        <w:t xml:space="preserve"> </w:t>
      </w:r>
      <w:r w:rsidRPr="00F7258D">
        <w:rPr>
          <w:rFonts w:ascii="CorpoS" w:hAnsi="CorpoS"/>
          <w:b/>
          <w:sz w:val="16"/>
          <w:szCs w:val="16"/>
          <w:lang w:val="en-US"/>
        </w:rPr>
        <w:t>Adjusted EBIT =</w:t>
      </w:r>
      <w:r w:rsidRPr="00F7258D">
        <w:rPr>
          <w:rFonts w:ascii="CorpoS" w:hAnsi="CorpoS"/>
          <w:b/>
          <w:sz w:val="22"/>
          <w:szCs w:val="22"/>
          <w:lang w:val="en-US"/>
        </w:rPr>
        <w:t xml:space="preserve"> </w:t>
      </w:r>
      <w:r w:rsidRPr="00F7258D">
        <w:rPr>
          <w:rFonts w:ascii="CorpoS" w:hAnsi="CorpoS"/>
          <w:b/>
          <w:sz w:val="16"/>
          <w:szCs w:val="16"/>
          <w:lang w:val="en-US"/>
        </w:rPr>
        <w:t>E</w:t>
      </w:r>
      <w:r>
        <w:rPr>
          <w:rFonts w:ascii="CorpoS" w:hAnsi="CorpoS"/>
          <w:b/>
          <w:sz w:val="16"/>
          <w:szCs w:val="16"/>
          <w:lang w:val="en-US"/>
        </w:rPr>
        <w:t>arnings before interest and tax, calculated on a comparable basis</w:t>
      </w:r>
    </w:p>
  </w:footnote>
  <w:footnote w:id="2">
    <w:p w14:paraId="563BD2B6" w14:textId="77777777" w:rsidR="0009657C" w:rsidRPr="00F7258D" w:rsidRDefault="0009657C" w:rsidP="0009657C">
      <w:pPr>
        <w:pStyle w:val="Funotentext"/>
        <w:rPr>
          <w:rFonts w:ascii="CorpoS" w:hAnsi="CorpoS"/>
          <w:b/>
          <w:sz w:val="16"/>
          <w:szCs w:val="16"/>
          <w:lang w:val="en-US"/>
        </w:rPr>
      </w:pPr>
      <w:r w:rsidRPr="00F7258D">
        <w:rPr>
          <w:rStyle w:val="Funotenzeichen"/>
          <w:rFonts w:ascii="CorpoS" w:hAnsi="CorpoS"/>
          <w:b/>
          <w:sz w:val="16"/>
          <w:szCs w:val="16"/>
          <w:lang w:val="en-US"/>
        </w:rPr>
        <w:footnoteRef/>
      </w:r>
      <w:r w:rsidRPr="00F7258D">
        <w:rPr>
          <w:rFonts w:ascii="CorpoS" w:hAnsi="CorpoS"/>
          <w:b/>
          <w:sz w:val="16"/>
          <w:szCs w:val="16"/>
          <w:lang w:val="en-US"/>
        </w:rPr>
        <w:t xml:space="preserve"> </w:t>
      </w:r>
      <w:r>
        <w:rPr>
          <w:rFonts w:ascii="CorpoS" w:hAnsi="CorpoS"/>
          <w:b/>
          <w:sz w:val="16"/>
          <w:szCs w:val="16"/>
          <w:lang w:val="en-US"/>
        </w:rPr>
        <w:t>Adjusted net i</w:t>
      </w:r>
      <w:r w:rsidRPr="00F7258D">
        <w:rPr>
          <w:rFonts w:ascii="CorpoS" w:hAnsi="CorpoS"/>
          <w:b/>
          <w:sz w:val="16"/>
          <w:szCs w:val="16"/>
          <w:lang w:val="en-US"/>
        </w:rPr>
        <w:t>ncome =</w:t>
      </w:r>
      <w:r w:rsidRPr="00F7258D">
        <w:rPr>
          <w:rFonts w:ascii="CorpoS" w:hAnsi="CorpoS"/>
          <w:b/>
          <w:sz w:val="22"/>
          <w:szCs w:val="22"/>
          <w:lang w:val="en-US"/>
        </w:rPr>
        <w:t xml:space="preserve"> </w:t>
      </w:r>
      <w:r w:rsidRPr="00F7258D">
        <w:rPr>
          <w:rFonts w:ascii="CorpoS" w:hAnsi="CorpoS"/>
          <w:b/>
          <w:sz w:val="16"/>
          <w:szCs w:val="16"/>
          <w:lang w:val="en-US"/>
        </w:rPr>
        <w:t>E</w:t>
      </w:r>
      <w:r>
        <w:rPr>
          <w:rFonts w:ascii="CorpoS" w:hAnsi="CorpoS"/>
          <w:b/>
          <w:sz w:val="16"/>
          <w:szCs w:val="16"/>
          <w:lang w:val="en-US"/>
        </w:rPr>
        <w:t>arnings after tax, calculated on a comparable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A557"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8E1A74" wp14:editId="7E99CECB">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821F" w14:textId="77777777"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D9F4F48" wp14:editId="13B18202">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6C3E4" w14:textId="77777777"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BD53C27" wp14:editId="5E716B33">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B8FAB" w14:textId="77777777" w:rsidR="00051E60" w:rsidRPr="0009657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09657C">
                            <w:rPr>
                              <w:rFonts w:ascii="CorpoSLig" w:hAnsi="CorpoSLig"/>
                              <w:b/>
                              <w:sz w:val="32"/>
                              <w:szCs w:val="32"/>
                            </w:rPr>
                            <w:t>erly s</w:t>
                          </w:r>
                          <w:r w:rsidR="00C51A14" w:rsidRPr="00C51A14">
                            <w:rPr>
                              <w:rFonts w:ascii="CorpoSLig" w:hAnsi="CorpoSLig"/>
                              <w:b/>
                              <w:sz w:val="32"/>
                              <w:szCs w:val="32"/>
                            </w:rPr>
                            <w:t>tatement</w:t>
                          </w:r>
                        </w:p>
                        <w:p w14:paraId="59C395DF"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53C27"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7CFB8FAB" w14:textId="77777777" w:rsidR="00051E60" w:rsidRPr="0009657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09657C">
                      <w:rPr>
                        <w:rFonts w:ascii="CorpoSLig" w:hAnsi="CorpoSLig"/>
                        <w:b/>
                        <w:sz w:val="32"/>
                        <w:szCs w:val="32"/>
                      </w:rPr>
                      <w:t>erly s</w:t>
                    </w:r>
                    <w:r w:rsidR="00C51A14" w:rsidRPr="00C51A14">
                      <w:rPr>
                        <w:rFonts w:ascii="CorpoSLig" w:hAnsi="CorpoSLig"/>
                        <w:b/>
                        <w:sz w:val="32"/>
                        <w:szCs w:val="32"/>
                      </w:rPr>
                      <w:t>tatement</w:t>
                    </w:r>
                  </w:p>
                  <w:p w14:paraId="59C395DF"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02A64DC" wp14:editId="356C23E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E162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8D5D97E" w14:textId="77777777"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7718"/>
    <w:rsid w:val="00010145"/>
    <w:rsid w:val="00010BAE"/>
    <w:rsid w:val="00014216"/>
    <w:rsid w:val="00014295"/>
    <w:rsid w:val="0001625B"/>
    <w:rsid w:val="000165E8"/>
    <w:rsid w:val="000177AD"/>
    <w:rsid w:val="00017987"/>
    <w:rsid w:val="0002022E"/>
    <w:rsid w:val="00020CA2"/>
    <w:rsid w:val="00034C1E"/>
    <w:rsid w:val="0004012A"/>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39E0"/>
    <w:rsid w:val="00094DD7"/>
    <w:rsid w:val="00095C96"/>
    <w:rsid w:val="0009657C"/>
    <w:rsid w:val="000A1616"/>
    <w:rsid w:val="000A6390"/>
    <w:rsid w:val="000A65E0"/>
    <w:rsid w:val="000B2DE3"/>
    <w:rsid w:val="000B67F6"/>
    <w:rsid w:val="000C09A7"/>
    <w:rsid w:val="000C1A76"/>
    <w:rsid w:val="000C7B00"/>
    <w:rsid w:val="000D2837"/>
    <w:rsid w:val="000D472F"/>
    <w:rsid w:val="000E1C17"/>
    <w:rsid w:val="000E2E12"/>
    <w:rsid w:val="000E5C57"/>
    <w:rsid w:val="000E76D2"/>
    <w:rsid w:val="000E7749"/>
    <w:rsid w:val="000F005C"/>
    <w:rsid w:val="000F0BAD"/>
    <w:rsid w:val="000F1C43"/>
    <w:rsid w:val="000F2FF0"/>
    <w:rsid w:val="000F74AB"/>
    <w:rsid w:val="0010004F"/>
    <w:rsid w:val="00100FBE"/>
    <w:rsid w:val="00101DCF"/>
    <w:rsid w:val="001020B6"/>
    <w:rsid w:val="001060D0"/>
    <w:rsid w:val="00107445"/>
    <w:rsid w:val="00112591"/>
    <w:rsid w:val="00113459"/>
    <w:rsid w:val="00113504"/>
    <w:rsid w:val="00113984"/>
    <w:rsid w:val="00115186"/>
    <w:rsid w:val="0011730A"/>
    <w:rsid w:val="00117AFF"/>
    <w:rsid w:val="001235C4"/>
    <w:rsid w:val="00125160"/>
    <w:rsid w:val="00126B24"/>
    <w:rsid w:val="00132F2F"/>
    <w:rsid w:val="00133A3B"/>
    <w:rsid w:val="00141BAC"/>
    <w:rsid w:val="00143677"/>
    <w:rsid w:val="00144D88"/>
    <w:rsid w:val="00150467"/>
    <w:rsid w:val="00151E2A"/>
    <w:rsid w:val="00161E32"/>
    <w:rsid w:val="001622D3"/>
    <w:rsid w:val="00163004"/>
    <w:rsid w:val="00170367"/>
    <w:rsid w:val="00172C9C"/>
    <w:rsid w:val="00181D71"/>
    <w:rsid w:val="00197CF5"/>
    <w:rsid w:val="001A47CB"/>
    <w:rsid w:val="001A7AC0"/>
    <w:rsid w:val="001B1AE3"/>
    <w:rsid w:val="001B434D"/>
    <w:rsid w:val="001C403E"/>
    <w:rsid w:val="001C53D3"/>
    <w:rsid w:val="001C5559"/>
    <w:rsid w:val="001C5F28"/>
    <w:rsid w:val="001C651B"/>
    <w:rsid w:val="001D000F"/>
    <w:rsid w:val="001D4D29"/>
    <w:rsid w:val="001D5D33"/>
    <w:rsid w:val="001E0F56"/>
    <w:rsid w:val="001E5591"/>
    <w:rsid w:val="001E56B3"/>
    <w:rsid w:val="001E5784"/>
    <w:rsid w:val="001E71BD"/>
    <w:rsid w:val="001F4294"/>
    <w:rsid w:val="002037D9"/>
    <w:rsid w:val="0021191F"/>
    <w:rsid w:val="0021633B"/>
    <w:rsid w:val="00222DEF"/>
    <w:rsid w:val="0022336E"/>
    <w:rsid w:val="00226271"/>
    <w:rsid w:val="002335C6"/>
    <w:rsid w:val="00236E3A"/>
    <w:rsid w:val="00237253"/>
    <w:rsid w:val="00242BD9"/>
    <w:rsid w:val="002437FE"/>
    <w:rsid w:val="00252060"/>
    <w:rsid w:val="00254406"/>
    <w:rsid w:val="00254EE7"/>
    <w:rsid w:val="00256BAD"/>
    <w:rsid w:val="00261A60"/>
    <w:rsid w:val="002654C2"/>
    <w:rsid w:val="00270DD3"/>
    <w:rsid w:val="00280197"/>
    <w:rsid w:val="00281AA0"/>
    <w:rsid w:val="00291085"/>
    <w:rsid w:val="0029213E"/>
    <w:rsid w:val="00296646"/>
    <w:rsid w:val="002966FA"/>
    <w:rsid w:val="002A3DF2"/>
    <w:rsid w:val="002A4079"/>
    <w:rsid w:val="002A57D3"/>
    <w:rsid w:val="002A63C8"/>
    <w:rsid w:val="002A7D65"/>
    <w:rsid w:val="002B6B5C"/>
    <w:rsid w:val="002B7FD7"/>
    <w:rsid w:val="002C1173"/>
    <w:rsid w:val="002C187E"/>
    <w:rsid w:val="002C2796"/>
    <w:rsid w:val="002C3218"/>
    <w:rsid w:val="002C3897"/>
    <w:rsid w:val="002C6BB7"/>
    <w:rsid w:val="002D758E"/>
    <w:rsid w:val="002E028E"/>
    <w:rsid w:val="002E2DB5"/>
    <w:rsid w:val="002E3646"/>
    <w:rsid w:val="002E648F"/>
    <w:rsid w:val="002F76AF"/>
    <w:rsid w:val="00300A57"/>
    <w:rsid w:val="003018DF"/>
    <w:rsid w:val="00303345"/>
    <w:rsid w:val="00305E13"/>
    <w:rsid w:val="00310230"/>
    <w:rsid w:val="00310E95"/>
    <w:rsid w:val="00311CAE"/>
    <w:rsid w:val="00316554"/>
    <w:rsid w:val="00322F67"/>
    <w:rsid w:val="00324FB1"/>
    <w:rsid w:val="00325951"/>
    <w:rsid w:val="003306E0"/>
    <w:rsid w:val="003329A3"/>
    <w:rsid w:val="00332B8F"/>
    <w:rsid w:val="003347D1"/>
    <w:rsid w:val="003423A0"/>
    <w:rsid w:val="00342A55"/>
    <w:rsid w:val="00343C99"/>
    <w:rsid w:val="00344B08"/>
    <w:rsid w:val="003465D9"/>
    <w:rsid w:val="00351FB9"/>
    <w:rsid w:val="0035315A"/>
    <w:rsid w:val="003536F8"/>
    <w:rsid w:val="00354A2A"/>
    <w:rsid w:val="00354BD1"/>
    <w:rsid w:val="003577B9"/>
    <w:rsid w:val="003600AA"/>
    <w:rsid w:val="0036092F"/>
    <w:rsid w:val="00364C74"/>
    <w:rsid w:val="00371A46"/>
    <w:rsid w:val="0038142E"/>
    <w:rsid w:val="003839FD"/>
    <w:rsid w:val="003875F7"/>
    <w:rsid w:val="00390A09"/>
    <w:rsid w:val="00392ACA"/>
    <w:rsid w:val="00392F50"/>
    <w:rsid w:val="003A20E2"/>
    <w:rsid w:val="003A2477"/>
    <w:rsid w:val="003A2718"/>
    <w:rsid w:val="003A5EDA"/>
    <w:rsid w:val="003A74C1"/>
    <w:rsid w:val="003A74F5"/>
    <w:rsid w:val="003B2216"/>
    <w:rsid w:val="003B2492"/>
    <w:rsid w:val="003B6AB4"/>
    <w:rsid w:val="003B6BFB"/>
    <w:rsid w:val="003C1344"/>
    <w:rsid w:val="003D1233"/>
    <w:rsid w:val="003D274C"/>
    <w:rsid w:val="003E2208"/>
    <w:rsid w:val="003E220C"/>
    <w:rsid w:val="003E23F9"/>
    <w:rsid w:val="003E4C71"/>
    <w:rsid w:val="003E7697"/>
    <w:rsid w:val="004044E9"/>
    <w:rsid w:val="00405869"/>
    <w:rsid w:val="00410940"/>
    <w:rsid w:val="00415D3F"/>
    <w:rsid w:val="00416CE4"/>
    <w:rsid w:val="004203A5"/>
    <w:rsid w:val="00421D92"/>
    <w:rsid w:val="00422193"/>
    <w:rsid w:val="004232FE"/>
    <w:rsid w:val="00433A66"/>
    <w:rsid w:val="0043597D"/>
    <w:rsid w:val="004429B1"/>
    <w:rsid w:val="00444D67"/>
    <w:rsid w:val="004470D8"/>
    <w:rsid w:val="00462E55"/>
    <w:rsid w:val="0046413D"/>
    <w:rsid w:val="00466DC0"/>
    <w:rsid w:val="00475E50"/>
    <w:rsid w:val="00476248"/>
    <w:rsid w:val="00481764"/>
    <w:rsid w:val="0048499B"/>
    <w:rsid w:val="00490BB2"/>
    <w:rsid w:val="00490C18"/>
    <w:rsid w:val="00494B76"/>
    <w:rsid w:val="004966DC"/>
    <w:rsid w:val="00497A32"/>
    <w:rsid w:val="004A092E"/>
    <w:rsid w:val="004B3CCD"/>
    <w:rsid w:val="004B496B"/>
    <w:rsid w:val="004B5C4C"/>
    <w:rsid w:val="004B5EFE"/>
    <w:rsid w:val="004B7E67"/>
    <w:rsid w:val="004C0AA1"/>
    <w:rsid w:val="004C372A"/>
    <w:rsid w:val="004C4759"/>
    <w:rsid w:val="004C594B"/>
    <w:rsid w:val="004C5E01"/>
    <w:rsid w:val="004D172F"/>
    <w:rsid w:val="004D5603"/>
    <w:rsid w:val="004E0F1F"/>
    <w:rsid w:val="004E5F27"/>
    <w:rsid w:val="004F201A"/>
    <w:rsid w:val="004F4B54"/>
    <w:rsid w:val="004F5EC6"/>
    <w:rsid w:val="00507889"/>
    <w:rsid w:val="005106C2"/>
    <w:rsid w:val="00511729"/>
    <w:rsid w:val="00513ADD"/>
    <w:rsid w:val="005159F9"/>
    <w:rsid w:val="005200F5"/>
    <w:rsid w:val="00526D8D"/>
    <w:rsid w:val="00532315"/>
    <w:rsid w:val="0054129D"/>
    <w:rsid w:val="0054532F"/>
    <w:rsid w:val="00556F66"/>
    <w:rsid w:val="005660B5"/>
    <w:rsid w:val="00567B1D"/>
    <w:rsid w:val="00572802"/>
    <w:rsid w:val="00583F6B"/>
    <w:rsid w:val="00584264"/>
    <w:rsid w:val="00591762"/>
    <w:rsid w:val="005934BB"/>
    <w:rsid w:val="005A006F"/>
    <w:rsid w:val="005A1451"/>
    <w:rsid w:val="005A280D"/>
    <w:rsid w:val="005A4152"/>
    <w:rsid w:val="005A75B7"/>
    <w:rsid w:val="005B1253"/>
    <w:rsid w:val="005B4229"/>
    <w:rsid w:val="005B4F69"/>
    <w:rsid w:val="005B7771"/>
    <w:rsid w:val="005C6A8C"/>
    <w:rsid w:val="005D737B"/>
    <w:rsid w:val="005E1D59"/>
    <w:rsid w:val="005E2F6D"/>
    <w:rsid w:val="005E64C5"/>
    <w:rsid w:val="005F55C7"/>
    <w:rsid w:val="005F6B07"/>
    <w:rsid w:val="00601381"/>
    <w:rsid w:val="0060201F"/>
    <w:rsid w:val="00602DEE"/>
    <w:rsid w:val="00603DF3"/>
    <w:rsid w:val="00607764"/>
    <w:rsid w:val="006140A4"/>
    <w:rsid w:val="00614A3F"/>
    <w:rsid w:val="006156F6"/>
    <w:rsid w:val="00616F28"/>
    <w:rsid w:val="00623002"/>
    <w:rsid w:val="00636522"/>
    <w:rsid w:val="006379B7"/>
    <w:rsid w:val="00640206"/>
    <w:rsid w:val="00642B7E"/>
    <w:rsid w:val="00645AA4"/>
    <w:rsid w:val="006466E5"/>
    <w:rsid w:val="0065197B"/>
    <w:rsid w:val="0065327F"/>
    <w:rsid w:val="00667C33"/>
    <w:rsid w:val="0067551C"/>
    <w:rsid w:val="00681B62"/>
    <w:rsid w:val="00682B38"/>
    <w:rsid w:val="00683A18"/>
    <w:rsid w:val="0068586D"/>
    <w:rsid w:val="006906EB"/>
    <w:rsid w:val="00692934"/>
    <w:rsid w:val="00692AEF"/>
    <w:rsid w:val="0069361B"/>
    <w:rsid w:val="00694A29"/>
    <w:rsid w:val="00695DED"/>
    <w:rsid w:val="006A16CD"/>
    <w:rsid w:val="006A30A9"/>
    <w:rsid w:val="006B0CBE"/>
    <w:rsid w:val="006B1097"/>
    <w:rsid w:val="006B61E1"/>
    <w:rsid w:val="006D1C26"/>
    <w:rsid w:val="006E141E"/>
    <w:rsid w:val="006E1D8B"/>
    <w:rsid w:val="006E5B40"/>
    <w:rsid w:val="006E6D73"/>
    <w:rsid w:val="006F76F1"/>
    <w:rsid w:val="00701A70"/>
    <w:rsid w:val="0070220C"/>
    <w:rsid w:val="0070360F"/>
    <w:rsid w:val="00706897"/>
    <w:rsid w:val="007068CC"/>
    <w:rsid w:val="00712F46"/>
    <w:rsid w:val="007174B3"/>
    <w:rsid w:val="00721388"/>
    <w:rsid w:val="0072741F"/>
    <w:rsid w:val="00742443"/>
    <w:rsid w:val="00742FCE"/>
    <w:rsid w:val="007527E9"/>
    <w:rsid w:val="00755EB4"/>
    <w:rsid w:val="007575AF"/>
    <w:rsid w:val="00757670"/>
    <w:rsid w:val="00760EE0"/>
    <w:rsid w:val="00761A2B"/>
    <w:rsid w:val="0076577A"/>
    <w:rsid w:val="00766743"/>
    <w:rsid w:val="007719C7"/>
    <w:rsid w:val="00772834"/>
    <w:rsid w:val="0077756B"/>
    <w:rsid w:val="007801BC"/>
    <w:rsid w:val="00783811"/>
    <w:rsid w:val="0078769A"/>
    <w:rsid w:val="007902FC"/>
    <w:rsid w:val="0079113C"/>
    <w:rsid w:val="00795E58"/>
    <w:rsid w:val="007A0340"/>
    <w:rsid w:val="007A0798"/>
    <w:rsid w:val="007A3449"/>
    <w:rsid w:val="007A63C5"/>
    <w:rsid w:val="007A7E57"/>
    <w:rsid w:val="007B1097"/>
    <w:rsid w:val="007B1A7A"/>
    <w:rsid w:val="007B301A"/>
    <w:rsid w:val="007B36B4"/>
    <w:rsid w:val="007B68CD"/>
    <w:rsid w:val="007C0D1C"/>
    <w:rsid w:val="007C5879"/>
    <w:rsid w:val="007D020C"/>
    <w:rsid w:val="007D3740"/>
    <w:rsid w:val="007D4FCF"/>
    <w:rsid w:val="007D5ABB"/>
    <w:rsid w:val="007E7CA5"/>
    <w:rsid w:val="007F194B"/>
    <w:rsid w:val="007F3FA3"/>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541A"/>
    <w:rsid w:val="0086110A"/>
    <w:rsid w:val="008612D6"/>
    <w:rsid w:val="00872C46"/>
    <w:rsid w:val="00884707"/>
    <w:rsid w:val="008879C4"/>
    <w:rsid w:val="00890BCF"/>
    <w:rsid w:val="008944CD"/>
    <w:rsid w:val="008A1E29"/>
    <w:rsid w:val="008A1EEB"/>
    <w:rsid w:val="008A5EAE"/>
    <w:rsid w:val="008A6D05"/>
    <w:rsid w:val="008B2068"/>
    <w:rsid w:val="008B4737"/>
    <w:rsid w:val="008B70A2"/>
    <w:rsid w:val="008C2911"/>
    <w:rsid w:val="008C3580"/>
    <w:rsid w:val="008C7FB8"/>
    <w:rsid w:val="008D3F07"/>
    <w:rsid w:val="008D5F6B"/>
    <w:rsid w:val="008D7CDD"/>
    <w:rsid w:val="008E3B41"/>
    <w:rsid w:val="008F0DAC"/>
    <w:rsid w:val="00906304"/>
    <w:rsid w:val="00907BC3"/>
    <w:rsid w:val="00914C01"/>
    <w:rsid w:val="00917918"/>
    <w:rsid w:val="0092750A"/>
    <w:rsid w:val="00932903"/>
    <w:rsid w:val="0093526E"/>
    <w:rsid w:val="009451BC"/>
    <w:rsid w:val="00947620"/>
    <w:rsid w:val="00947BA9"/>
    <w:rsid w:val="00950960"/>
    <w:rsid w:val="009510EF"/>
    <w:rsid w:val="00954FB4"/>
    <w:rsid w:val="00955146"/>
    <w:rsid w:val="00955CF7"/>
    <w:rsid w:val="00956671"/>
    <w:rsid w:val="0096124D"/>
    <w:rsid w:val="00962C3D"/>
    <w:rsid w:val="00963D45"/>
    <w:rsid w:val="00970F2A"/>
    <w:rsid w:val="00971E42"/>
    <w:rsid w:val="00974D59"/>
    <w:rsid w:val="00977BA5"/>
    <w:rsid w:val="00977BC9"/>
    <w:rsid w:val="00982B92"/>
    <w:rsid w:val="00984BD9"/>
    <w:rsid w:val="00992CD8"/>
    <w:rsid w:val="009959F2"/>
    <w:rsid w:val="0099749E"/>
    <w:rsid w:val="00997AC3"/>
    <w:rsid w:val="009B0DD6"/>
    <w:rsid w:val="009B22E6"/>
    <w:rsid w:val="009B248F"/>
    <w:rsid w:val="009B4DFE"/>
    <w:rsid w:val="009C049E"/>
    <w:rsid w:val="009C19B6"/>
    <w:rsid w:val="009D2AF7"/>
    <w:rsid w:val="009D35D0"/>
    <w:rsid w:val="009E0A17"/>
    <w:rsid w:val="009E2D48"/>
    <w:rsid w:val="009E49E6"/>
    <w:rsid w:val="009E566C"/>
    <w:rsid w:val="009E5FB4"/>
    <w:rsid w:val="009E62BA"/>
    <w:rsid w:val="00A0180E"/>
    <w:rsid w:val="00A03882"/>
    <w:rsid w:val="00A06B1D"/>
    <w:rsid w:val="00A107AB"/>
    <w:rsid w:val="00A159D4"/>
    <w:rsid w:val="00A169FE"/>
    <w:rsid w:val="00A2077D"/>
    <w:rsid w:val="00A22432"/>
    <w:rsid w:val="00A35C99"/>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3453"/>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E7F44"/>
    <w:rsid w:val="00AF2BE8"/>
    <w:rsid w:val="00AF5C7C"/>
    <w:rsid w:val="00AF5F2F"/>
    <w:rsid w:val="00AF74CB"/>
    <w:rsid w:val="00AF7961"/>
    <w:rsid w:val="00B0190F"/>
    <w:rsid w:val="00B040EC"/>
    <w:rsid w:val="00B05CE3"/>
    <w:rsid w:val="00B121FD"/>
    <w:rsid w:val="00B12B4A"/>
    <w:rsid w:val="00B17715"/>
    <w:rsid w:val="00B22562"/>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7AF1"/>
    <w:rsid w:val="00B91284"/>
    <w:rsid w:val="00B94466"/>
    <w:rsid w:val="00B977C5"/>
    <w:rsid w:val="00BA047C"/>
    <w:rsid w:val="00BA326C"/>
    <w:rsid w:val="00BA6BBE"/>
    <w:rsid w:val="00BB2E97"/>
    <w:rsid w:val="00BB5475"/>
    <w:rsid w:val="00BB5BC7"/>
    <w:rsid w:val="00BB7C9B"/>
    <w:rsid w:val="00BC0EFB"/>
    <w:rsid w:val="00BC26AC"/>
    <w:rsid w:val="00BC6FF6"/>
    <w:rsid w:val="00BC7C0F"/>
    <w:rsid w:val="00BD03D1"/>
    <w:rsid w:val="00BD0659"/>
    <w:rsid w:val="00BD4F3C"/>
    <w:rsid w:val="00BE5BA9"/>
    <w:rsid w:val="00BF3CC1"/>
    <w:rsid w:val="00BF53D7"/>
    <w:rsid w:val="00C022E0"/>
    <w:rsid w:val="00C037D7"/>
    <w:rsid w:val="00C0727F"/>
    <w:rsid w:val="00C11438"/>
    <w:rsid w:val="00C11F8D"/>
    <w:rsid w:val="00C16B05"/>
    <w:rsid w:val="00C17B16"/>
    <w:rsid w:val="00C311FF"/>
    <w:rsid w:val="00C32522"/>
    <w:rsid w:val="00C32663"/>
    <w:rsid w:val="00C345E3"/>
    <w:rsid w:val="00C422B3"/>
    <w:rsid w:val="00C44533"/>
    <w:rsid w:val="00C46210"/>
    <w:rsid w:val="00C51A14"/>
    <w:rsid w:val="00C53234"/>
    <w:rsid w:val="00C551E1"/>
    <w:rsid w:val="00C5543F"/>
    <w:rsid w:val="00C6116C"/>
    <w:rsid w:val="00C66179"/>
    <w:rsid w:val="00C73544"/>
    <w:rsid w:val="00C74BED"/>
    <w:rsid w:val="00C84525"/>
    <w:rsid w:val="00C84921"/>
    <w:rsid w:val="00C91E70"/>
    <w:rsid w:val="00C9409F"/>
    <w:rsid w:val="00C969D6"/>
    <w:rsid w:val="00CA302C"/>
    <w:rsid w:val="00CA7DD6"/>
    <w:rsid w:val="00CB0939"/>
    <w:rsid w:val="00CB178B"/>
    <w:rsid w:val="00CB6EA6"/>
    <w:rsid w:val="00CC494A"/>
    <w:rsid w:val="00CC790A"/>
    <w:rsid w:val="00CD2469"/>
    <w:rsid w:val="00CD2C29"/>
    <w:rsid w:val="00CE0E77"/>
    <w:rsid w:val="00CE3E0B"/>
    <w:rsid w:val="00CE5748"/>
    <w:rsid w:val="00CE6DDA"/>
    <w:rsid w:val="00CE7924"/>
    <w:rsid w:val="00CF0603"/>
    <w:rsid w:val="00CF1657"/>
    <w:rsid w:val="00CF2371"/>
    <w:rsid w:val="00CF276E"/>
    <w:rsid w:val="00CF61DC"/>
    <w:rsid w:val="00D01090"/>
    <w:rsid w:val="00D01591"/>
    <w:rsid w:val="00D01903"/>
    <w:rsid w:val="00D0223E"/>
    <w:rsid w:val="00D04A2D"/>
    <w:rsid w:val="00D1381A"/>
    <w:rsid w:val="00D14428"/>
    <w:rsid w:val="00D16ADA"/>
    <w:rsid w:val="00D2126C"/>
    <w:rsid w:val="00D21373"/>
    <w:rsid w:val="00D226C8"/>
    <w:rsid w:val="00D23C26"/>
    <w:rsid w:val="00D25069"/>
    <w:rsid w:val="00D26265"/>
    <w:rsid w:val="00D267A2"/>
    <w:rsid w:val="00D317F8"/>
    <w:rsid w:val="00D31922"/>
    <w:rsid w:val="00D32C0E"/>
    <w:rsid w:val="00D342CF"/>
    <w:rsid w:val="00D3701C"/>
    <w:rsid w:val="00D40D7C"/>
    <w:rsid w:val="00D4254A"/>
    <w:rsid w:val="00D457A9"/>
    <w:rsid w:val="00D46EAE"/>
    <w:rsid w:val="00D73883"/>
    <w:rsid w:val="00D76C52"/>
    <w:rsid w:val="00D822B2"/>
    <w:rsid w:val="00D91CB2"/>
    <w:rsid w:val="00D94AE8"/>
    <w:rsid w:val="00DA0900"/>
    <w:rsid w:val="00DB545D"/>
    <w:rsid w:val="00DC1516"/>
    <w:rsid w:val="00DC3B2E"/>
    <w:rsid w:val="00DC4FCF"/>
    <w:rsid w:val="00DD64E9"/>
    <w:rsid w:val="00DD6965"/>
    <w:rsid w:val="00DD6C03"/>
    <w:rsid w:val="00DD6DD3"/>
    <w:rsid w:val="00DD7DC5"/>
    <w:rsid w:val="00DE3D5A"/>
    <w:rsid w:val="00DF2E8C"/>
    <w:rsid w:val="00DF4118"/>
    <w:rsid w:val="00DF69E2"/>
    <w:rsid w:val="00E00A7E"/>
    <w:rsid w:val="00E01E18"/>
    <w:rsid w:val="00E04F27"/>
    <w:rsid w:val="00E10840"/>
    <w:rsid w:val="00E11A77"/>
    <w:rsid w:val="00E1645F"/>
    <w:rsid w:val="00E3381D"/>
    <w:rsid w:val="00E347A0"/>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D1D33"/>
    <w:rsid w:val="00ED212E"/>
    <w:rsid w:val="00ED7F59"/>
    <w:rsid w:val="00EF33F5"/>
    <w:rsid w:val="00EF58F9"/>
    <w:rsid w:val="00EF648D"/>
    <w:rsid w:val="00F008EE"/>
    <w:rsid w:val="00F027F8"/>
    <w:rsid w:val="00F04F74"/>
    <w:rsid w:val="00F065A8"/>
    <w:rsid w:val="00F075CF"/>
    <w:rsid w:val="00F11B13"/>
    <w:rsid w:val="00F13C99"/>
    <w:rsid w:val="00F22834"/>
    <w:rsid w:val="00F235E3"/>
    <w:rsid w:val="00F24358"/>
    <w:rsid w:val="00F247EA"/>
    <w:rsid w:val="00F3273C"/>
    <w:rsid w:val="00F32996"/>
    <w:rsid w:val="00F356E8"/>
    <w:rsid w:val="00F440C4"/>
    <w:rsid w:val="00F56FAC"/>
    <w:rsid w:val="00F570A5"/>
    <w:rsid w:val="00F57F86"/>
    <w:rsid w:val="00F66683"/>
    <w:rsid w:val="00F73387"/>
    <w:rsid w:val="00F831AD"/>
    <w:rsid w:val="00F83948"/>
    <w:rsid w:val="00F84C1C"/>
    <w:rsid w:val="00F86A56"/>
    <w:rsid w:val="00F87571"/>
    <w:rsid w:val="00F94AF7"/>
    <w:rsid w:val="00F95C09"/>
    <w:rsid w:val="00FA2576"/>
    <w:rsid w:val="00FA4490"/>
    <w:rsid w:val="00FB0A76"/>
    <w:rsid w:val="00FB4BC6"/>
    <w:rsid w:val="00FB7BA5"/>
    <w:rsid w:val="00FC33F7"/>
    <w:rsid w:val="00FC4028"/>
    <w:rsid w:val="00FC4643"/>
    <w:rsid w:val="00FD1D0E"/>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F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09657C"/>
    <w:rPr>
      <w:sz w:val="16"/>
      <w:szCs w:val="16"/>
    </w:rPr>
  </w:style>
  <w:style w:type="paragraph" w:styleId="Kommentartext">
    <w:name w:val="annotation text"/>
    <w:basedOn w:val="Standard"/>
    <w:link w:val="KommentartextZchn"/>
    <w:semiHidden/>
    <w:unhideWhenUsed/>
    <w:rsid w:val="0009657C"/>
    <w:rPr>
      <w:sz w:val="20"/>
    </w:rPr>
  </w:style>
  <w:style w:type="character" w:customStyle="1" w:styleId="KommentartextZchn">
    <w:name w:val="Kommentartext Zchn"/>
    <w:basedOn w:val="Absatz-Standardschriftart"/>
    <w:link w:val="Kommentartext"/>
    <w:semiHidden/>
    <w:rsid w:val="0009657C"/>
    <w:rPr>
      <w:lang w:val="en-GB" w:eastAsia="en-US"/>
    </w:rPr>
  </w:style>
  <w:style w:type="paragraph" w:styleId="Kommentarthema">
    <w:name w:val="annotation subject"/>
    <w:basedOn w:val="Kommentartext"/>
    <w:next w:val="Kommentartext"/>
    <w:link w:val="KommentarthemaZchn"/>
    <w:semiHidden/>
    <w:unhideWhenUsed/>
    <w:rsid w:val="003347D1"/>
    <w:rPr>
      <w:b/>
      <w:bCs/>
    </w:rPr>
  </w:style>
  <w:style w:type="character" w:customStyle="1" w:styleId="KommentarthemaZchn">
    <w:name w:val="Kommentarthema Zchn"/>
    <w:basedOn w:val="KommentartextZchn"/>
    <w:link w:val="Kommentarthema"/>
    <w:semiHidden/>
    <w:rsid w:val="003347D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09657C"/>
    <w:rPr>
      <w:sz w:val="16"/>
      <w:szCs w:val="16"/>
    </w:rPr>
  </w:style>
  <w:style w:type="paragraph" w:styleId="Kommentartext">
    <w:name w:val="annotation text"/>
    <w:basedOn w:val="Standard"/>
    <w:link w:val="KommentartextZchn"/>
    <w:semiHidden/>
    <w:unhideWhenUsed/>
    <w:rsid w:val="0009657C"/>
    <w:rPr>
      <w:sz w:val="20"/>
    </w:rPr>
  </w:style>
  <w:style w:type="character" w:customStyle="1" w:styleId="KommentartextZchn">
    <w:name w:val="Kommentartext Zchn"/>
    <w:basedOn w:val="Absatz-Standardschriftart"/>
    <w:link w:val="Kommentartext"/>
    <w:semiHidden/>
    <w:rsid w:val="0009657C"/>
    <w:rPr>
      <w:lang w:val="en-GB" w:eastAsia="en-US"/>
    </w:rPr>
  </w:style>
  <w:style w:type="paragraph" w:styleId="Kommentarthema">
    <w:name w:val="annotation subject"/>
    <w:basedOn w:val="Kommentartext"/>
    <w:next w:val="Kommentartext"/>
    <w:link w:val="KommentarthemaZchn"/>
    <w:semiHidden/>
    <w:unhideWhenUsed/>
    <w:rsid w:val="003347D1"/>
    <w:rPr>
      <w:b/>
      <w:bCs/>
    </w:rPr>
  </w:style>
  <w:style w:type="character" w:customStyle="1" w:styleId="KommentarthemaZchn">
    <w:name w:val="Kommentarthema Zchn"/>
    <w:basedOn w:val="KommentartextZchn"/>
    <w:link w:val="Kommentarthema"/>
    <w:semiHidden/>
    <w:rsid w:val="003347D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DD78-1345-42E8-A8C4-B8152EEB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8210</Characters>
  <Application>Microsoft Office Word</Application>
  <DocSecurity>2</DocSecurity>
  <Lines>68</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9680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2016-10-24T08:42:00Z</dcterms:created>
  <dcterms:modified xsi:type="dcterms:W3CDTF">2016-10-24T10:57:00Z</dcterms:modified>
</cp:coreProperties>
</file>