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93CB21" w14:textId="7E9A5C76" w:rsidR="002A57D3" w:rsidRPr="00AF6BBE" w:rsidRDefault="003B3A95" w:rsidP="00C51A14">
      <w:pPr>
        <w:tabs>
          <w:tab w:val="left" w:pos="9072"/>
        </w:tabs>
        <w:spacing w:line="300" w:lineRule="exact"/>
        <w:ind w:right="283"/>
        <w:jc w:val="both"/>
        <w:rPr>
          <w:rFonts w:ascii="CorpoS" w:hAnsi="CorpoS"/>
          <w:b/>
          <w:sz w:val="22"/>
          <w:szCs w:val="22"/>
        </w:rPr>
      </w:pPr>
      <w:r>
        <w:rPr>
          <w:rFonts w:ascii="CorpoS" w:hAnsi="CorpoS"/>
          <w:b/>
          <w:sz w:val="22"/>
        </w:rPr>
        <w:t>MTU Aero Engines AG publishes figures for 2021</w:t>
      </w:r>
    </w:p>
    <w:p w14:paraId="5AB29D9E" w14:textId="78BB00DC" w:rsidR="00CE0F74" w:rsidRPr="00AF6BBE" w:rsidRDefault="00873E92" w:rsidP="0057064D">
      <w:pPr>
        <w:numPr>
          <w:ilvl w:val="0"/>
          <w:numId w:val="11"/>
        </w:numPr>
        <w:tabs>
          <w:tab w:val="left" w:pos="9072"/>
        </w:tabs>
        <w:spacing w:line="300" w:lineRule="exact"/>
        <w:ind w:right="283"/>
        <w:jc w:val="both"/>
        <w:rPr>
          <w:rFonts w:ascii="CorpoS" w:hAnsi="CorpoS"/>
          <w:b/>
          <w:sz w:val="22"/>
          <w:szCs w:val="22"/>
        </w:rPr>
      </w:pPr>
      <w:r>
        <w:rPr>
          <w:rFonts w:ascii="CorpoS" w:hAnsi="CorpoS"/>
          <w:b/>
          <w:sz w:val="22"/>
        </w:rPr>
        <w:t>Earnings and cash flow forecast fully achieved</w:t>
      </w:r>
    </w:p>
    <w:p w14:paraId="1155999B" w14:textId="6ABC7349" w:rsidR="00050992" w:rsidRDefault="00DC250C"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rPr>
        <w:t>Outlook for 2022</w:t>
      </w:r>
      <w:r w:rsidR="00C16025">
        <w:rPr>
          <w:rFonts w:ascii="CorpoS" w:hAnsi="CorpoS"/>
          <w:b/>
          <w:sz w:val="22"/>
        </w:rPr>
        <w:t xml:space="preserve"> confirmed</w:t>
      </w:r>
    </w:p>
    <w:p w14:paraId="1521DEFD" w14:textId="37212BCC" w:rsidR="00931ABE" w:rsidRPr="00C4369C" w:rsidRDefault="00931ABE" w:rsidP="00C51A14">
      <w:pPr>
        <w:numPr>
          <w:ilvl w:val="0"/>
          <w:numId w:val="11"/>
        </w:numPr>
        <w:tabs>
          <w:tab w:val="left" w:pos="9072"/>
        </w:tabs>
        <w:spacing w:line="300" w:lineRule="exact"/>
        <w:ind w:right="283"/>
        <w:jc w:val="both"/>
        <w:rPr>
          <w:rFonts w:ascii="CorpoS" w:hAnsi="CorpoS"/>
          <w:b/>
          <w:sz w:val="22"/>
          <w:szCs w:val="22"/>
        </w:rPr>
      </w:pPr>
      <w:r>
        <w:rPr>
          <w:rFonts w:ascii="CorpoS" w:hAnsi="CorpoS"/>
          <w:b/>
          <w:sz w:val="22"/>
        </w:rPr>
        <w:t>Executive Board to propose a dividend of €2.10</w:t>
      </w:r>
    </w:p>
    <w:p w14:paraId="1BF295AB" w14:textId="77777777" w:rsidR="00C51A14" w:rsidRPr="00F8268F" w:rsidRDefault="00C51A14" w:rsidP="00C51A14">
      <w:pPr>
        <w:tabs>
          <w:tab w:val="left" w:pos="9072"/>
        </w:tabs>
        <w:spacing w:line="300" w:lineRule="exact"/>
        <w:ind w:right="283"/>
        <w:jc w:val="both"/>
        <w:rPr>
          <w:rFonts w:ascii="CorpoS" w:hAnsi="CorpoS"/>
          <w:b/>
          <w:sz w:val="22"/>
          <w:szCs w:val="22"/>
        </w:rPr>
      </w:pPr>
    </w:p>
    <w:p w14:paraId="44648A1A" w14:textId="77777777" w:rsidR="001C4716" w:rsidRPr="00F014F0" w:rsidRDefault="001C4716" w:rsidP="001C4716">
      <w:pPr>
        <w:tabs>
          <w:tab w:val="left" w:pos="7655"/>
          <w:tab w:val="left" w:pos="9072"/>
        </w:tabs>
        <w:spacing w:line="300" w:lineRule="exact"/>
        <w:ind w:right="283"/>
        <w:jc w:val="both"/>
        <w:rPr>
          <w:rFonts w:ascii="CorpoS" w:hAnsi="CorpoS"/>
          <w:i/>
          <w:sz w:val="22"/>
          <w:szCs w:val="22"/>
        </w:rPr>
      </w:pPr>
      <w:r>
        <w:rPr>
          <w:rFonts w:ascii="CorpoS" w:hAnsi="CorpoS"/>
          <w:i/>
          <w:sz w:val="22"/>
        </w:rPr>
        <w:t>– preliminary figures – pending the approval of the Supervisory Board –</w:t>
      </w:r>
    </w:p>
    <w:p w14:paraId="6012DE23" w14:textId="77777777" w:rsidR="001C4716" w:rsidRPr="00F8268F" w:rsidRDefault="001C4716" w:rsidP="00C51A14">
      <w:pPr>
        <w:tabs>
          <w:tab w:val="left" w:pos="9072"/>
        </w:tabs>
        <w:spacing w:line="300" w:lineRule="exact"/>
        <w:ind w:right="283"/>
        <w:jc w:val="both"/>
        <w:rPr>
          <w:rFonts w:ascii="CorpoS" w:hAnsi="CorpoS"/>
          <w:b/>
          <w:sz w:val="22"/>
          <w:szCs w:val="22"/>
        </w:rPr>
      </w:pPr>
    </w:p>
    <w:p w14:paraId="4EE0C49F" w14:textId="7FA7C7BC" w:rsidR="009D65F9" w:rsidRPr="005819D2" w:rsidRDefault="00C51A14" w:rsidP="009D65F9">
      <w:pPr>
        <w:tabs>
          <w:tab w:val="left" w:pos="7655"/>
          <w:tab w:val="left" w:pos="9072"/>
        </w:tabs>
        <w:spacing w:line="300" w:lineRule="exact"/>
        <w:ind w:right="283"/>
        <w:jc w:val="both"/>
        <w:rPr>
          <w:rFonts w:ascii="CorpoS" w:hAnsi="CorpoS"/>
          <w:sz w:val="22"/>
          <w:szCs w:val="22"/>
        </w:rPr>
      </w:pPr>
      <w:r>
        <w:rPr>
          <w:rFonts w:ascii="CorpoS" w:hAnsi="CorpoS"/>
          <w:sz w:val="22"/>
        </w:rPr>
        <w:t xml:space="preserve">Munich, February 16, 2022 – MTU Aero Engines AG has published its preliminary figures for 2021: </w:t>
      </w:r>
      <w:r w:rsidR="006E149E">
        <w:rPr>
          <w:rFonts w:ascii="CorpoS" w:hAnsi="CorpoS"/>
          <w:sz w:val="22"/>
        </w:rPr>
        <w:br w:type="textWrapping" w:clear="all"/>
      </w:r>
      <w:r>
        <w:rPr>
          <w:rFonts w:ascii="CorpoS" w:hAnsi="CorpoS"/>
          <w:sz w:val="22"/>
        </w:rPr>
        <w:t>Revenue rose 5% from €3,977 million to €4,188 million. The operating profit</w:t>
      </w:r>
      <w:r w:rsidR="00AA674D" w:rsidRPr="005819D2">
        <w:rPr>
          <w:rStyle w:val="Funotenzeichen"/>
          <w:rFonts w:ascii="CorpoS" w:hAnsi="CorpoS"/>
          <w:b/>
          <w:sz w:val="22"/>
          <w:szCs w:val="22"/>
          <w:lang w:val="de-DE"/>
        </w:rPr>
        <w:footnoteReference w:id="1"/>
      </w:r>
      <w:r>
        <w:rPr>
          <w:rFonts w:ascii="CorpoS" w:hAnsi="CorpoS"/>
          <w:sz w:val="22"/>
        </w:rPr>
        <w:t xml:space="preserve"> was 13% higher at €468 million (2020: €416 million). The adjusted EBIT margin was 11.2%, compared with 10.5% in 2020. Net income</w:t>
      </w:r>
      <w:r w:rsidR="009D65F9" w:rsidRPr="005819D2">
        <w:rPr>
          <w:rStyle w:val="Funotenzeichen"/>
          <w:rFonts w:ascii="CorpoS" w:hAnsi="CorpoS"/>
          <w:b/>
          <w:sz w:val="22"/>
          <w:szCs w:val="22"/>
        </w:rPr>
        <w:footnoteReference w:id="2"/>
      </w:r>
      <w:r>
        <w:rPr>
          <w:rFonts w:ascii="CorpoS" w:hAnsi="CorpoS"/>
          <w:sz w:val="22"/>
        </w:rPr>
        <w:t xml:space="preserve"> climbed to €342 million in 2021 (2020: €294 million).</w:t>
      </w:r>
    </w:p>
    <w:p w14:paraId="1FE3F4C9" w14:textId="77777777" w:rsidR="008E749D" w:rsidRPr="00F8268F" w:rsidRDefault="008E749D" w:rsidP="00E53A5F">
      <w:pPr>
        <w:tabs>
          <w:tab w:val="left" w:pos="7655"/>
          <w:tab w:val="left" w:pos="7938"/>
        </w:tabs>
        <w:spacing w:line="300" w:lineRule="exact"/>
        <w:ind w:right="283"/>
        <w:jc w:val="both"/>
        <w:rPr>
          <w:rFonts w:ascii="CorpoS" w:hAnsi="CorpoS"/>
          <w:sz w:val="22"/>
          <w:szCs w:val="22"/>
        </w:rPr>
      </w:pPr>
    </w:p>
    <w:p w14:paraId="07328183" w14:textId="256330C5" w:rsidR="00F0428D" w:rsidRPr="00EB1AAC" w:rsidRDefault="009D65F9" w:rsidP="00B357E6">
      <w:pPr>
        <w:tabs>
          <w:tab w:val="left" w:pos="7655"/>
          <w:tab w:val="left" w:pos="7938"/>
        </w:tabs>
        <w:spacing w:line="300" w:lineRule="exact"/>
        <w:ind w:right="283"/>
        <w:jc w:val="both"/>
        <w:rPr>
          <w:rFonts w:ascii="CorpoS" w:hAnsi="CorpoS"/>
          <w:sz w:val="22"/>
          <w:szCs w:val="22"/>
        </w:rPr>
      </w:pPr>
      <w:r>
        <w:rPr>
          <w:rFonts w:ascii="CorpoS" w:hAnsi="CorpoS"/>
          <w:sz w:val="22"/>
        </w:rPr>
        <w:t>“In 2021, MTU once again demonstrated its resilience in the face of crisis. Despite continued disruption and uncertainty as a result of the coronaviru</w:t>
      </w:r>
      <w:r w:rsidR="009C61B2">
        <w:rPr>
          <w:rFonts w:ascii="CorpoS" w:hAnsi="CorpoS"/>
          <w:sz w:val="22"/>
        </w:rPr>
        <w:t xml:space="preserve">s pandemic, it was a successful </w:t>
      </w:r>
      <w:r>
        <w:rPr>
          <w:rFonts w:ascii="CorpoS" w:hAnsi="CorpoS"/>
          <w:sz w:val="22"/>
        </w:rPr>
        <w:t xml:space="preserve">year in which we fully achieved our earnings and cash flow forecasts,” said Reiner Winkler, CEO of MTU Aero Engines AG. As the market remained volatile due to Covid-19, MTU gave more precise guidance when it presented its half-year figures at the end of July and after the first nine months. The most recent forecast was for revenue of between €4.3 and €4.4 billion. “In both the OEM and the MRO business, revenue was slightly below our expectations in 2021, so total revenue was slightly lower than had been forecast,” said </w:t>
      </w:r>
      <w:r w:rsidR="006E149E">
        <w:rPr>
          <w:rFonts w:ascii="CorpoS" w:hAnsi="CorpoS"/>
          <w:sz w:val="22"/>
        </w:rPr>
        <w:br w:type="textWrapping" w:clear="all"/>
      </w:r>
      <w:r>
        <w:rPr>
          <w:rFonts w:ascii="CorpoS" w:hAnsi="CorpoS"/>
          <w:sz w:val="22"/>
        </w:rPr>
        <w:t xml:space="preserve">Winkler. The target for the adjusted EBIT margin was 10.5%. The operating profit and adjusted net </w:t>
      </w:r>
      <w:r w:rsidR="006E149E">
        <w:rPr>
          <w:rFonts w:ascii="CorpoS" w:hAnsi="CorpoS"/>
          <w:sz w:val="22"/>
        </w:rPr>
        <w:br w:type="textWrapping" w:clear="all"/>
      </w:r>
      <w:r>
        <w:rPr>
          <w:rFonts w:ascii="CorpoS" w:hAnsi="CorpoS"/>
          <w:sz w:val="22"/>
        </w:rPr>
        <w:t>income had been expected to develop in line with one another. Winkler: “Our product and service portfolio positions us optimally to benefit from the expected market recovery in 2022. We can confirm the guidance we issued at our Capital Market Day in November 2021.”</w:t>
      </w:r>
    </w:p>
    <w:p w14:paraId="379F44CC" w14:textId="77777777" w:rsidR="00B357E6" w:rsidRPr="00F8268F" w:rsidRDefault="00B357E6" w:rsidP="00B357E6">
      <w:pPr>
        <w:tabs>
          <w:tab w:val="left" w:pos="7655"/>
          <w:tab w:val="left" w:pos="7938"/>
        </w:tabs>
        <w:spacing w:line="300" w:lineRule="exact"/>
        <w:ind w:right="283"/>
        <w:jc w:val="both"/>
        <w:rPr>
          <w:rFonts w:ascii="CorpoS" w:hAnsi="CorpoS"/>
          <w:color w:val="FF0000"/>
          <w:sz w:val="22"/>
          <w:szCs w:val="22"/>
        </w:rPr>
      </w:pPr>
    </w:p>
    <w:p w14:paraId="741F2783" w14:textId="58FFA3D2" w:rsidR="009D65F9" w:rsidRPr="00690B2E"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rPr>
        <w:t>Outlook for 2022</w:t>
      </w:r>
    </w:p>
    <w:p w14:paraId="6A1955E2" w14:textId="6952CCA2" w:rsidR="00C31949" w:rsidRDefault="00D342EC" w:rsidP="005C6C40">
      <w:pPr>
        <w:tabs>
          <w:tab w:val="left" w:pos="7655"/>
          <w:tab w:val="left" w:pos="9072"/>
        </w:tabs>
        <w:spacing w:line="300" w:lineRule="exact"/>
        <w:ind w:right="283"/>
        <w:jc w:val="both"/>
        <w:rPr>
          <w:rFonts w:ascii="CorpoS" w:hAnsi="CorpoS"/>
          <w:sz w:val="22"/>
          <w:szCs w:val="22"/>
        </w:rPr>
      </w:pPr>
      <w:r>
        <w:rPr>
          <w:rFonts w:ascii="CorpoS" w:hAnsi="CorpoS"/>
          <w:sz w:val="22"/>
        </w:rPr>
        <w:t xml:space="preserve">Commercial maintenance should show the strongest upward momentum in 2022, with organic revenue growth in the mid- to high-twenties percentage range. The increase in revenue in the commercial series business should be in the mid- to high-teens percentage range. In the commercial spare parts business, MTU predicts that the rise in revenue will be in the mid-teens percentage range. In the military business, revenue growth in the high single-digit percentage range is expected. Overall, MTU projects a revenue range of between €5.2 and €5.4 billion in 2022. The company expects growth in adjusted EBIT to be in the mid-twenties percentage range in 2022. Adjusted net income should </w:t>
      </w:r>
      <w:r w:rsidR="007A2889">
        <w:rPr>
          <w:rFonts w:ascii="CorpoS" w:hAnsi="CorpoS"/>
          <w:sz w:val="22"/>
        </w:rPr>
        <w:t>increase</w:t>
      </w:r>
      <w:r>
        <w:rPr>
          <w:rFonts w:ascii="CorpoS" w:hAnsi="CorpoS"/>
          <w:sz w:val="22"/>
        </w:rPr>
        <w:t xml:space="preserve"> in line with the </w:t>
      </w:r>
      <w:r w:rsidR="006E149E">
        <w:rPr>
          <w:rFonts w:ascii="CorpoS" w:hAnsi="CorpoS"/>
          <w:sz w:val="22"/>
        </w:rPr>
        <w:br w:type="textWrapping" w:clear="all"/>
      </w:r>
      <w:r>
        <w:rPr>
          <w:rFonts w:ascii="CorpoS" w:hAnsi="CorpoS"/>
          <w:sz w:val="22"/>
        </w:rPr>
        <w:t>operating profit. The cash conversion rate, which shows the ratio of free cash flow to adjusted net income, is expected to be in the mid to high double-digit percentage range in 2022 (2021: 70%).</w:t>
      </w:r>
    </w:p>
    <w:p w14:paraId="2F2F2235" w14:textId="4DDFD10C" w:rsidR="00521181" w:rsidRDefault="00521181" w:rsidP="005C6C40">
      <w:pPr>
        <w:tabs>
          <w:tab w:val="left" w:pos="7655"/>
          <w:tab w:val="left" w:pos="9072"/>
        </w:tabs>
        <w:spacing w:line="300" w:lineRule="exact"/>
        <w:ind w:right="283"/>
        <w:jc w:val="both"/>
        <w:rPr>
          <w:rFonts w:ascii="CorpoS" w:hAnsi="CorpoS"/>
          <w:color w:val="FF0000"/>
          <w:sz w:val="22"/>
          <w:szCs w:val="22"/>
        </w:rPr>
      </w:pPr>
    </w:p>
    <w:p w14:paraId="1E63A496" w14:textId="6FADBF31" w:rsidR="00BF6B97" w:rsidRDefault="00BF6B97" w:rsidP="005C6C40">
      <w:pPr>
        <w:tabs>
          <w:tab w:val="left" w:pos="7655"/>
          <w:tab w:val="left" w:pos="9072"/>
        </w:tabs>
        <w:spacing w:line="300" w:lineRule="exact"/>
        <w:ind w:right="283"/>
        <w:jc w:val="both"/>
        <w:rPr>
          <w:rFonts w:ascii="CorpoS" w:hAnsi="CorpoS"/>
          <w:color w:val="FF0000"/>
          <w:sz w:val="22"/>
          <w:szCs w:val="22"/>
        </w:rPr>
      </w:pPr>
    </w:p>
    <w:p w14:paraId="778CBD8C" w14:textId="77777777" w:rsidR="00BF6B97" w:rsidRPr="00F8268F" w:rsidRDefault="00BF6B97" w:rsidP="005C6C40">
      <w:pPr>
        <w:tabs>
          <w:tab w:val="left" w:pos="7655"/>
          <w:tab w:val="left" w:pos="9072"/>
        </w:tabs>
        <w:spacing w:line="300" w:lineRule="exact"/>
        <w:ind w:right="283"/>
        <w:jc w:val="both"/>
        <w:rPr>
          <w:rFonts w:ascii="CorpoS" w:hAnsi="CorpoS"/>
          <w:color w:val="FF0000"/>
          <w:sz w:val="22"/>
          <w:szCs w:val="22"/>
        </w:rPr>
      </w:pPr>
    </w:p>
    <w:p w14:paraId="722637B2" w14:textId="77184D4B" w:rsidR="009D65F9" w:rsidRPr="00EF63E6"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rPr>
        <w:lastRenderedPageBreak/>
        <w:t>Higher revenue in commercial maintenance</w:t>
      </w:r>
    </w:p>
    <w:p w14:paraId="68413321" w14:textId="6E9C77F0" w:rsidR="00EF63E6" w:rsidRPr="00AB7BD6" w:rsidRDefault="00EF63E6" w:rsidP="00EF63E6">
      <w:pPr>
        <w:spacing w:line="300" w:lineRule="exact"/>
        <w:ind w:right="283"/>
        <w:jc w:val="both"/>
        <w:rPr>
          <w:rFonts w:ascii="CorpoS" w:hAnsi="CorpoS"/>
          <w:sz w:val="22"/>
          <w:szCs w:val="22"/>
        </w:rPr>
      </w:pPr>
      <w:r>
        <w:rPr>
          <w:rFonts w:ascii="CorpoS" w:hAnsi="CorpoS"/>
          <w:sz w:val="22"/>
        </w:rPr>
        <w:t>In commercial maintenance (MRO), MTU raised revenue by 9% to €2,741 million</w:t>
      </w:r>
      <w:r w:rsidR="00521181">
        <w:rPr>
          <w:rFonts w:ascii="CorpoS" w:hAnsi="CorpoS"/>
          <w:sz w:val="22"/>
        </w:rPr>
        <w:t xml:space="preserve"> in 2021</w:t>
      </w:r>
      <w:r>
        <w:rPr>
          <w:rFonts w:ascii="CorpoS" w:hAnsi="CorpoS"/>
          <w:sz w:val="22"/>
        </w:rPr>
        <w:t xml:space="preserve"> (2020: €2,522 million). Around 60% of the revenue mix </w:t>
      </w:r>
      <w:r w:rsidR="00521181">
        <w:rPr>
          <w:rFonts w:ascii="CorpoS" w:hAnsi="CorpoS"/>
          <w:sz w:val="22"/>
        </w:rPr>
        <w:t>was</w:t>
      </w:r>
      <w:r>
        <w:rPr>
          <w:rFonts w:ascii="CorpoS" w:hAnsi="CorpoS"/>
          <w:sz w:val="22"/>
        </w:rPr>
        <w:t xml:space="preserve"> work in MTU’s core MRO business and around 40% comprises maintenance work on the Geared Turbofan™. “On a dollar basis, MRO reported a 13% rise in revenue, which was not quite as stro</w:t>
      </w:r>
      <w:r w:rsidR="00521181">
        <w:rPr>
          <w:rFonts w:ascii="CorpoS" w:hAnsi="CorpoS"/>
          <w:sz w:val="22"/>
        </w:rPr>
        <w:t>ng as had been anticipated,” said</w:t>
      </w:r>
      <w:r>
        <w:rPr>
          <w:rFonts w:ascii="CorpoS" w:hAnsi="CorpoS"/>
          <w:sz w:val="22"/>
        </w:rPr>
        <w:t xml:space="preserve"> CFO Peter </w:t>
      </w:r>
      <w:proofErr w:type="spellStart"/>
      <w:r>
        <w:rPr>
          <w:rFonts w:ascii="CorpoS" w:hAnsi="CorpoS"/>
          <w:sz w:val="22"/>
        </w:rPr>
        <w:t>Kameritsch</w:t>
      </w:r>
      <w:proofErr w:type="spellEnd"/>
      <w:r>
        <w:rPr>
          <w:rFonts w:ascii="CorpoS" w:hAnsi="CorpoS"/>
          <w:sz w:val="22"/>
        </w:rPr>
        <w:t>. MTU had assumed the commercial maintenance business would report organic revenue growth in the mid-teen percentage range. The main revenue drivers in this business were the PW1100G-JM engine for the A320neo and the V2500, which is used in the classic A320.</w:t>
      </w:r>
    </w:p>
    <w:p w14:paraId="285357C6" w14:textId="77777777" w:rsidR="00EF63E6" w:rsidRPr="00F8268F" w:rsidRDefault="00EF63E6" w:rsidP="00EF63E6">
      <w:pPr>
        <w:spacing w:line="300" w:lineRule="exact"/>
        <w:ind w:right="283"/>
        <w:jc w:val="both"/>
        <w:rPr>
          <w:rFonts w:ascii="CorpoS" w:hAnsi="CorpoS"/>
          <w:color w:val="FF0000"/>
          <w:sz w:val="22"/>
          <w:szCs w:val="22"/>
        </w:rPr>
      </w:pPr>
    </w:p>
    <w:p w14:paraId="136AB670" w14:textId="564178FA" w:rsidR="00A81E6E" w:rsidRPr="00A81E6E" w:rsidRDefault="005B0707" w:rsidP="009D65F9">
      <w:pPr>
        <w:spacing w:line="300" w:lineRule="exact"/>
        <w:ind w:right="283"/>
        <w:jc w:val="both"/>
        <w:rPr>
          <w:rFonts w:ascii="CorpoS" w:hAnsi="CorpoS"/>
          <w:sz w:val="22"/>
          <w:szCs w:val="22"/>
        </w:rPr>
      </w:pPr>
      <w:r>
        <w:rPr>
          <w:rFonts w:ascii="CorpoS" w:hAnsi="CorpoS"/>
          <w:sz w:val="22"/>
        </w:rPr>
        <w:t xml:space="preserve">Revenue was stable in both the </w:t>
      </w:r>
      <w:r w:rsidR="005A0ACE">
        <w:rPr>
          <w:rFonts w:ascii="CorpoS" w:hAnsi="CorpoS"/>
          <w:sz w:val="22"/>
        </w:rPr>
        <w:t>commercial</w:t>
      </w:r>
      <w:r>
        <w:rPr>
          <w:rFonts w:ascii="CorpoS" w:hAnsi="CorpoS"/>
          <w:sz w:val="22"/>
        </w:rPr>
        <w:t xml:space="preserve"> engine business and the </w:t>
      </w:r>
      <w:r w:rsidR="005A0ACE">
        <w:rPr>
          <w:rFonts w:ascii="CorpoS" w:hAnsi="CorpoS"/>
          <w:sz w:val="22"/>
        </w:rPr>
        <w:t>military</w:t>
      </w:r>
      <w:r>
        <w:rPr>
          <w:rFonts w:ascii="CorpoS" w:hAnsi="CorpoS"/>
          <w:sz w:val="22"/>
        </w:rPr>
        <w:t xml:space="preserve"> engine business in 2021.</w:t>
      </w:r>
    </w:p>
    <w:p w14:paraId="25F09396" w14:textId="77777777" w:rsidR="00A81E6E" w:rsidRPr="00F8268F" w:rsidRDefault="00A81E6E" w:rsidP="009D65F9">
      <w:pPr>
        <w:spacing w:line="300" w:lineRule="exact"/>
        <w:ind w:right="283"/>
        <w:jc w:val="both"/>
        <w:rPr>
          <w:rFonts w:ascii="CorpoS" w:hAnsi="CorpoS"/>
          <w:sz w:val="22"/>
          <w:szCs w:val="22"/>
        </w:rPr>
      </w:pPr>
    </w:p>
    <w:p w14:paraId="1FE51DD1" w14:textId="28813F3D" w:rsidR="0008737B" w:rsidRPr="00A81E6E" w:rsidRDefault="00A81E6E" w:rsidP="009D65F9">
      <w:pPr>
        <w:spacing w:line="300" w:lineRule="exact"/>
        <w:ind w:right="283"/>
        <w:jc w:val="both"/>
        <w:rPr>
          <w:rFonts w:ascii="CorpoS" w:hAnsi="CorpoS"/>
          <w:sz w:val="22"/>
          <w:szCs w:val="22"/>
        </w:rPr>
      </w:pPr>
      <w:r>
        <w:rPr>
          <w:rFonts w:ascii="CorpoS" w:hAnsi="CorpoS"/>
          <w:sz w:val="22"/>
        </w:rPr>
        <w:t xml:space="preserve">In the commercial engine business, MTU generated revenue of €1,066 million (2020: €1,052 million). Organic revenue increased by 5% in the spare parts business but fell by 6% in the series business. </w:t>
      </w:r>
      <w:r w:rsidR="006E149E">
        <w:rPr>
          <w:rFonts w:ascii="CorpoS" w:hAnsi="CorpoS"/>
          <w:sz w:val="22"/>
        </w:rPr>
        <w:br w:type="textWrapping" w:clear="all"/>
      </w:r>
      <w:r>
        <w:rPr>
          <w:rFonts w:ascii="CorpoS" w:hAnsi="CorpoS"/>
          <w:sz w:val="22"/>
        </w:rPr>
        <w:t xml:space="preserve">“A quarterly view shows an organic improvement in both areas,” said </w:t>
      </w:r>
      <w:proofErr w:type="spellStart"/>
      <w:r>
        <w:rPr>
          <w:rFonts w:ascii="CorpoS" w:hAnsi="CorpoS"/>
          <w:sz w:val="22"/>
        </w:rPr>
        <w:t>Kameritsch</w:t>
      </w:r>
      <w:proofErr w:type="spellEnd"/>
      <w:r>
        <w:rPr>
          <w:rFonts w:ascii="CorpoS" w:hAnsi="CorpoS"/>
          <w:sz w:val="22"/>
        </w:rPr>
        <w:t>. “In the fourth quarter, revenue from the series business was about 20% higher than in the fourth quarter of 2020 and in the spare parts business the increase was around 40%.” The PW1100G-JM for the A320neo was the main revenue driver in the commercial engine business.</w:t>
      </w:r>
    </w:p>
    <w:p w14:paraId="2B6F14C5" w14:textId="5F7C83EF" w:rsidR="00F13E90" w:rsidRPr="00F8268F" w:rsidRDefault="00F13E90" w:rsidP="009D65F9">
      <w:pPr>
        <w:spacing w:line="300" w:lineRule="exact"/>
        <w:ind w:right="283"/>
        <w:jc w:val="both"/>
        <w:rPr>
          <w:rFonts w:ascii="CorpoS" w:hAnsi="CorpoS"/>
          <w:sz w:val="22"/>
          <w:szCs w:val="22"/>
        </w:rPr>
      </w:pPr>
    </w:p>
    <w:p w14:paraId="5A66E773" w14:textId="0FBF2007" w:rsidR="00F13E90" w:rsidRPr="002D4E1A" w:rsidRDefault="002D4E1A" w:rsidP="00F13E90">
      <w:pPr>
        <w:spacing w:line="300" w:lineRule="exact"/>
        <w:ind w:right="283"/>
        <w:jc w:val="both"/>
        <w:rPr>
          <w:rFonts w:ascii="CorpoS" w:hAnsi="CorpoS"/>
          <w:sz w:val="22"/>
          <w:szCs w:val="22"/>
        </w:rPr>
      </w:pPr>
      <w:r>
        <w:rPr>
          <w:rFonts w:ascii="CorpoS" w:hAnsi="CorpoS"/>
          <w:sz w:val="22"/>
        </w:rPr>
        <w:t xml:space="preserve">In the military engine business, revenue came to €482 million in 2021 (2020: €483 million), which was below the growth assumption of around 5%. </w:t>
      </w:r>
      <w:proofErr w:type="spellStart"/>
      <w:r>
        <w:rPr>
          <w:rFonts w:ascii="CorpoS" w:hAnsi="CorpoS"/>
          <w:sz w:val="22"/>
        </w:rPr>
        <w:t>Kameritsch</w:t>
      </w:r>
      <w:proofErr w:type="spellEnd"/>
      <w:r>
        <w:rPr>
          <w:rFonts w:ascii="CorpoS" w:hAnsi="CorpoS"/>
          <w:sz w:val="22"/>
        </w:rPr>
        <w:t>: “We had assumed higher revenue from the Next European Fighter Engine for the new generation of fighter jets. However, that has been delayed because the contract for the demonstrator phase has not yet been signed.” The main revenue driver in the military business was the EJ200 engine for the Eurofighter.</w:t>
      </w:r>
    </w:p>
    <w:p w14:paraId="38CA1778" w14:textId="77777777" w:rsidR="00F13E90" w:rsidRPr="00F8268F" w:rsidRDefault="00F13E90" w:rsidP="00F13E90">
      <w:pPr>
        <w:spacing w:line="300" w:lineRule="exact"/>
        <w:ind w:right="283"/>
        <w:jc w:val="both"/>
        <w:rPr>
          <w:rFonts w:ascii="CorpoS" w:hAnsi="CorpoS"/>
          <w:color w:val="FF0000"/>
          <w:sz w:val="22"/>
          <w:szCs w:val="22"/>
        </w:rPr>
      </w:pPr>
    </w:p>
    <w:p w14:paraId="0E0854D5" w14:textId="68390703" w:rsidR="009D65F9" w:rsidRPr="00162CBB" w:rsidRDefault="00A1324E" w:rsidP="009D65F9">
      <w:pPr>
        <w:tabs>
          <w:tab w:val="left" w:pos="7655"/>
          <w:tab w:val="left" w:pos="7938"/>
        </w:tabs>
        <w:spacing w:line="300" w:lineRule="exact"/>
        <w:ind w:right="283"/>
        <w:jc w:val="both"/>
        <w:rPr>
          <w:rFonts w:ascii="CorpoS" w:hAnsi="CorpoS"/>
          <w:b/>
          <w:sz w:val="22"/>
          <w:szCs w:val="22"/>
        </w:rPr>
      </w:pPr>
      <w:r>
        <w:rPr>
          <w:rFonts w:ascii="CorpoS" w:hAnsi="CorpoS"/>
          <w:b/>
          <w:sz w:val="22"/>
        </w:rPr>
        <w:t>Record order backlog of €22.2 billion</w:t>
      </w:r>
    </w:p>
    <w:p w14:paraId="11F9C033" w14:textId="6F84F120" w:rsidR="00ED6E48" w:rsidRDefault="007853D0" w:rsidP="009D65F9">
      <w:pPr>
        <w:tabs>
          <w:tab w:val="left" w:pos="7655"/>
          <w:tab w:val="left" w:pos="9072"/>
        </w:tabs>
        <w:spacing w:line="300" w:lineRule="exact"/>
        <w:ind w:right="283"/>
        <w:jc w:val="both"/>
        <w:rPr>
          <w:rFonts w:ascii="CorpoS" w:hAnsi="CorpoS"/>
          <w:b/>
          <w:sz w:val="22"/>
          <w:szCs w:val="22"/>
        </w:rPr>
      </w:pPr>
      <w:r>
        <w:rPr>
          <w:rFonts w:ascii="CorpoS" w:hAnsi="CorpoS"/>
          <w:sz w:val="22"/>
        </w:rPr>
        <w:t xml:space="preserve">At the end of 2021, MTU’s order backlog amounted to €22.2 billion, compared with €18.6 billion at year-end 2020. “That is a new record and further evidence of MTU’s future viability,” said Winkler. </w:t>
      </w:r>
      <w:r w:rsidR="006E149E">
        <w:rPr>
          <w:rFonts w:ascii="CorpoS" w:hAnsi="CorpoS"/>
          <w:sz w:val="22"/>
        </w:rPr>
        <w:br w:type="textWrapping" w:clear="all"/>
      </w:r>
      <w:r>
        <w:rPr>
          <w:rFonts w:ascii="CorpoS" w:hAnsi="CorpoS"/>
          <w:sz w:val="22"/>
        </w:rPr>
        <w:t xml:space="preserve">“In 2021, we secured commercial maintenance orders worth U.S.$4.6 billion. Particularly given the difficult market situation, that is evidence of MTU’s strong market position.”  The order backlog mainly relates to V2500 and the Geared Turbofan™ engines in the PW1000G family, especially the </w:t>
      </w:r>
      <w:r w:rsidR="006E149E">
        <w:rPr>
          <w:rFonts w:ascii="CorpoS" w:hAnsi="CorpoS"/>
          <w:sz w:val="22"/>
        </w:rPr>
        <w:br w:type="textWrapping" w:clear="all"/>
      </w:r>
      <w:r>
        <w:rPr>
          <w:rFonts w:ascii="CorpoS" w:hAnsi="CorpoS"/>
          <w:sz w:val="22"/>
        </w:rPr>
        <w:t>PW1100G-JM.</w:t>
      </w:r>
    </w:p>
    <w:p w14:paraId="371387A1" w14:textId="77777777" w:rsidR="00ED6E48" w:rsidRPr="00F8268F" w:rsidRDefault="00ED6E48" w:rsidP="009D65F9">
      <w:pPr>
        <w:tabs>
          <w:tab w:val="left" w:pos="7655"/>
          <w:tab w:val="left" w:pos="9072"/>
        </w:tabs>
        <w:spacing w:line="300" w:lineRule="exact"/>
        <w:ind w:right="283"/>
        <w:jc w:val="both"/>
        <w:rPr>
          <w:rFonts w:ascii="CorpoS" w:hAnsi="CorpoS"/>
          <w:b/>
          <w:sz w:val="22"/>
          <w:szCs w:val="22"/>
        </w:rPr>
      </w:pPr>
    </w:p>
    <w:p w14:paraId="576EE46A" w14:textId="77777777" w:rsidR="009D65F9" w:rsidRPr="00BA0660"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rPr>
        <w:t>Earnings of the business units</w:t>
      </w:r>
    </w:p>
    <w:p w14:paraId="543D9AD6" w14:textId="03B21279" w:rsidR="001721F1" w:rsidRDefault="00BA0660" w:rsidP="00900007">
      <w:pPr>
        <w:tabs>
          <w:tab w:val="left" w:pos="7655"/>
          <w:tab w:val="left" w:pos="9072"/>
        </w:tabs>
        <w:spacing w:line="300" w:lineRule="exact"/>
        <w:ind w:right="283"/>
        <w:jc w:val="both"/>
        <w:rPr>
          <w:rFonts w:ascii="CorpoS" w:hAnsi="CorpoS"/>
          <w:sz w:val="22"/>
        </w:rPr>
      </w:pPr>
      <w:r>
        <w:rPr>
          <w:rFonts w:ascii="CorpoS" w:hAnsi="CorpoS"/>
          <w:sz w:val="22"/>
        </w:rPr>
        <w:t>The improvement in MTU’s earnings in 2021 was driven principally by the OEM business, where adjusted EBIT rose 14% from €280 million to €320 million. The adjusted EBIT margin in the OEM business was 20.7%, compared with 18.2% in 2020.</w:t>
      </w:r>
    </w:p>
    <w:p w14:paraId="617B6F2A" w14:textId="77777777" w:rsidR="00521181" w:rsidRPr="00F12275" w:rsidRDefault="00521181" w:rsidP="00900007">
      <w:pPr>
        <w:tabs>
          <w:tab w:val="left" w:pos="7655"/>
          <w:tab w:val="left" w:pos="9072"/>
        </w:tabs>
        <w:spacing w:line="300" w:lineRule="exact"/>
        <w:ind w:right="283"/>
        <w:jc w:val="both"/>
        <w:rPr>
          <w:rFonts w:ascii="CorpoS" w:hAnsi="CorpoS"/>
          <w:sz w:val="22"/>
          <w:szCs w:val="22"/>
        </w:rPr>
      </w:pPr>
    </w:p>
    <w:p w14:paraId="1BB3B4B1" w14:textId="4CC0E32D" w:rsidR="001A76F2" w:rsidRDefault="00D55FCA" w:rsidP="002716B2">
      <w:pPr>
        <w:tabs>
          <w:tab w:val="left" w:pos="7655"/>
          <w:tab w:val="left" w:pos="9072"/>
        </w:tabs>
        <w:spacing w:line="300" w:lineRule="exact"/>
        <w:ind w:right="283"/>
        <w:jc w:val="both"/>
        <w:rPr>
          <w:rFonts w:ascii="CorpoS" w:hAnsi="CorpoS"/>
          <w:sz w:val="22"/>
          <w:szCs w:val="22"/>
        </w:rPr>
      </w:pPr>
      <w:r>
        <w:rPr>
          <w:rFonts w:ascii="CorpoS" w:hAnsi="CorpoS"/>
          <w:sz w:val="22"/>
        </w:rPr>
        <w:t>Commercial maintenance reported a 9% increase in earnings to €149 million (2020: €136 million). The MRO margin was unchanged from the previous year at 5.4%.</w:t>
      </w:r>
    </w:p>
    <w:p w14:paraId="7C15DD13" w14:textId="77777777" w:rsidR="00DD6FF2" w:rsidRDefault="001A76F2" w:rsidP="002716B2">
      <w:pPr>
        <w:tabs>
          <w:tab w:val="left" w:pos="7655"/>
          <w:tab w:val="left" w:pos="9072"/>
        </w:tabs>
        <w:spacing w:line="300" w:lineRule="exact"/>
        <w:ind w:right="283"/>
        <w:jc w:val="both"/>
        <w:rPr>
          <w:rFonts w:ascii="CorpoS" w:hAnsi="CorpoS"/>
          <w:sz w:val="22"/>
        </w:rPr>
      </w:pPr>
      <w:r>
        <w:rPr>
          <w:rFonts w:ascii="CorpoS" w:hAnsi="CorpoS"/>
          <w:sz w:val="22"/>
        </w:rPr>
        <w:lastRenderedPageBreak/>
        <w:t>“The improved margin in the OEM business is attributable to the revenue mix and the success of our cost-cutting programs. In the commercial maintenance business, the high proportion of work on the Geared Turbofan™</w:t>
      </w:r>
      <w:r w:rsidR="00DD6FF2">
        <w:rPr>
          <w:rFonts w:ascii="CorpoS" w:hAnsi="CorpoS"/>
          <w:sz w:val="22"/>
        </w:rPr>
        <w:t xml:space="preserve"> had an impact on the margin</w:t>
      </w:r>
      <w:r>
        <w:rPr>
          <w:rFonts w:ascii="CorpoS" w:hAnsi="CorpoS"/>
          <w:sz w:val="22"/>
        </w:rPr>
        <w:t xml:space="preserve">,” reported </w:t>
      </w:r>
      <w:proofErr w:type="spellStart"/>
      <w:r>
        <w:rPr>
          <w:rFonts w:ascii="CorpoS" w:hAnsi="CorpoS"/>
          <w:sz w:val="22"/>
        </w:rPr>
        <w:t>Kameritsch</w:t>
      </w:r>
      <w:proofErr w:type="spellEnd"/>
      <w:r>
        <w:rPr>
          <w:rFonts w:ascii="CorpoS" w:hAnsi="CorpoS"/>
          <w:sz w:val="22"/>
        </w:rPr>
        <w:t>.</w:t>
      </w:r>
    </w:p>
    <w:p w14:paraId="3AFDDE5B" w14:textId="77777777" w:rsidR="00DD6FF2" w:rsidRDefault="00DD6FF2" w:rsidP="002716B2">
      <w:pPr>
        <w:tabs>
          <w:tab w:val="left" w:pos="7655"/>
          <w:tab w:val="left" w:pos="9072"/>
        </w:tabs>
        <w:spacing w:line="300" w:lineRule="exact"/>
        <w:ind w:right="283"/>
        <w:jc w:val="both"/>
        <w:rPr>
          <w:rFonts w:ascii="CorpoS" w:hAnsi="CorpoS"/>
          <w:sz w:val="22"/>
        </w:rPr>
      </w:pPr>
    </w:p>
    <w:p w14:paraId="2B013967" w14:textId="3C43E696" w:rsidR="009C4514" w:rsidRPr="00B4335E" w:rsidRDefault="009C4514" w:rsidP="002716B2">
      <w:pPr>
        <w:tabs>
          <w:tab w:val="left" w:pos="7655"/>
          <w:tab w:val="left" w:pos="9072"/>
        </w:tabs>
        <w:spacing w:line="300" w:lineRule="exact"/>
        <w:ind w:right="283"/>
        <w:jc w:val="both"/>
        <w:rPr>
          <w:rFonts w:ascii="CorpoS" w:hAnsi="CorpoS"/>
          <w:color w:val="FF0000"/>
          <w:sz w:val="22"/>
          <w:szCs w:val="22"/>
        </w:rPr>
      </w:pPr>
      <w:r>
        <w:rPr>
          <w:rFonts w:ascii="CorpoS" w:hAnsi="CorpoS"/>
          <w:sz w:val="22"/>
        </w:rPr>
        <w:t>“Our financial statements for 2021 reflect the change in the market outlook for the Embraer E175-E2, which resulted in a write-down of around €80 million. This is adjusted ou</w:t>
      </w:r>
      <w:r w:rsidR="00DD6FF2">
        <w:rPr>
          <w:rFonts w:ascii="CorpoS" w:hAnsi="CorpoS"/>
          <w:sz w:val="22"/>
        </w:rPr>
        <w:t>t of earnings as a special item,</w:t>
      </w:r>
      <w:r>
        <w:rPr>
          <w:rFonts w:ascii="CorpoS" w:hAnsi="CorpoS"/>
          <w:sz w:val="22"/>
        </w:rPr>
        <w:t>”</w:t>
      </w:r>
      <w:r w:rsidR="00DD6FF2">
        <w:rPr>
          <w:rFonts w:ascii="CorpoS" w:hAnsi="CorpoS"/>
          <w:sz w:val="22"/>
        </w:rPr>
        <w:t xml:space="preserve"> added </w:t>
      </w:r>
      <w:proofErr w:type="spellStart"/>
      <w:r w:rsidR="00DD6FF2">
        <w:rPr>
          <w:rFonts w:ascii="CorpoS" w:hAnsi="CorpoS"/>
          <w:sz w:val="22"/>
        </w:rPr>
        <w:t>Kameritsch</w:t>
      </w:r>
      <w:proofErr w:type="spellEnd"/>
      <w:r w:rsidR="00DD6FF2">
        <w:rPr>
          <w:rFonts w:ascii="CorpoS" w:hAnsi="CorpoS"/>
          <w:sz w:val="22"/>
        </w:rPr>
        <w:t>.</w:t>
      </w:r>
    </w:p>
    <w:p w14:paraId="5DC68A4D" w14:textId="77777777" w:rsidR="00412DC5" w:rsidRPr="00F8268F" w:rsidRDefault="00412DC5" w:rsidP="009D65F9">
      <w:pPr>
        <w:tabs>
          <w:tab w:val="left" w:pos="7655"/>
          <w:tab w:val="left" w:pos="9072"/>
        </w:tabs>
        <w:spacing w:line="300" w:lineRule="exact"/>
        <w:ind w:right="283"/>
        <w:jc w:val="both"/>
        <w:rPr>
          <w:rFonts w:ascii="CorpoS" w:hAnsi="CorpoS"/>
          <w:color w:val="FF0000"/>
          <w:sz w:val="22"/>
          <w:szCs w:val="22"/>
        </w:rPr>
      </w:pPr>
    </w:p>
    <w:p w14:paraId="24B48690" w14:textId="74DBACC5" w:rsidR="009D65F9" w:rsidRPr="00675CB3"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rPr>
        <w:t>Dividend proposal on March 8</w:t>
      </w:r>
    </w:p>
    <w:p w14:paraId="3C9B0CF1" w14:textId="376EB7A4" w:rsidR="009D65F9" w:rsidRPr="00553986" w:rsidRDefault="009D65F9" w:rsidP="009D65F9">
      <w:pPr>
        <w:tabs>
          <w:tab w:val="left" w:pos="7655"/>
          <w:tab w:val="left" w:pos="9072"/>
        </w:tabs>
        <w:spacing w:line="300" w:lineRule="exact"/>
        <w:ind w:right="283"/>
        <w:jc w:val="both"/>
        <w:rPr>
          <w:rFonts w:ascii="CorpoS" w:hAnsi="CorpoS"/>
          <w:sz w:val="22"/>
          <w:szCs w:val="22"/>
        </w:rPr>
      </w:pPr>
      <w:r>
        <w:rPr>
          <w:rFonts w:ascii="CorpoS" w:hAnsi="CorpoS"/>
          <w:sz w:val="22"/>
        </w:rPr>
        <w:t xml:space="preserve">“We would like our shareholders to participate in </w:t>
      </w:r>
      <w:r w:rsidR="00B13C2E">
        <w:rPr>
          <w:rFonts w:ascii="CorpoS" w:hAnsi="CorpoS"/>
          <w:sz w:val="22"/>
        </w:rPr>
        <w:t>our</w:t>
      </w:r>
      <w:r>
        <w:rPr>
          <w:rFonts w:ascii="CorpoS" w:hAnsi="CorpoS"/>
          <w:sz w:val="22"/>
        </w:rPr>
        <w:t xml:space="preserve"> good performance by paying them a dividend of €2.10 per share,” said </w:t>
      </w:r>
      <w:proofErr w:type="spellStart"/>
      <w:r>
        <w:rPr>
          <w:rFonts w:ascii="CorpoS" w:hAnsi="CorpoS"/>
          <w:sz w:val="22"/>
        </w:rPr>
        <w:t>Kameritsch</w:t>
      </w:r>
      <w:proofErr w:type="spellEnd"/>
      <w:r>
        <w:rPr>
          <w:rFonts w:ascii="CorpoS" w:hAnsi="CorpoS"/>
          <w:sz w:val="22"/>
        </w:rPr>
        <w:t>. When the Supervisory Board meets on March 8 to adopt the financial statements, the Executive Board will put forward this dividend proposal as a recommendation for a resolution at the Annual General Meeting. For 2020, MTU paid a dividend of €1.25 per share.</w:t>
      </w:r>
    </w:p>
    <w:p w14:paraId="234C5018" w14:textId="77777777" w:rsidR="009D65F9" w:rsidRPr="00F8268F" w:rsidRDefault="009D65F9" w:rsidP="009D65F9">
      <w:pPr>
        <w:tabs>
          <w:tab w:val="left" w:pos="7655"/>
          <w:tab w:val="left" w:pos="9072"/>
        </w:tabs>
        <w:spacing w:line="300" w:lineRule="exact"/>
        <w:ind w:right="283"/>
        <w:jc w:val="both"/>
        <w:rPr>
          <w:rFonts w:ascii="CorpoS" w:hAnsi="CorpoS"/>
          <w:sz w:val="22"/>
          <w:szCs w:val="22"/>
        </w:rPr>
      </w:pPr>
    </w:p>
    <w:p w14:paraId="41A97AB1" w14:textId="77777777" w:rsidR="009D65F9" w:rsidRPr="00342329"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rPr>
        <w:t>Research and development</w:t>
      </w:r>
    </w:p>
    <w:p w14:paraId="1DD4A734" w14:textId="4D0E05E2" w:rsidR="009D65F9" w:rsidRPr="003011DD" w:rsidRDefault="00530295" w:rsidP="009D65F9">
      <w:pPr>
        <w:tabs>
          <w:tab w:val="left" w:pos="7655"/>
          <w:tab w:val="left" w:pos="7938"/>
        </w:tabs>
        <w:spacing w:line="300" w:lineRule="exact"/>
        <w:ind w:right="283"/>
        <w:jc w:val="both"/>
        <w:rPr>
          <w:rFonts w:ascii="CorpoS" w:hAnsi="CorpoS"/>
          <w:sz w:val="22"/>
          <w:szCs w:val="22"/>
        </w:rPr>
      </w:pPr>
      <w:r>
        <w:rPr>
          <w:rFonts w:ascii="CorpoS" w:hAnsi="CorpoS"/>
          <w:sz w:val="22"/>
        </w:rPr>
        <w:t>MTU increased its research and development expenditure by 24% to €230 million in 2021 (2020: €186 million). “In research and development we are focusing on evolutionary and revolutionary propulsion concepts for sustainable and ultimately emission-free engines. We are therefore paving the way for the future of aviation and expanding MTU’s technology leadership,” said Winkler. By focusing its R&amp;D activities on hydrogen and flying fuel cells, MTU is working on emission-free flying as well as on technology studies for future engine generations, digitalization of engine manufacturing, and the Geared Turbofan™ programs and their development. “Together with our partner Pratt &amp; Whitney, we achieved an important milestone with the GTF Advantage in 2021,” said Winkler.</w:t>
      </w:r>
    </w:p>
    <w:p w14:paraId="021F33A3" w14:textId="77777777" w:rsidR="009D65F9" w:rsidRPr="00F8268F" w:rsidRDefault="009D65F9" w:rsidP="009D65F9">
      <w:pPr>
        <w:tabs>
          <w:tab w:val="left" w:pos="7655"/>
          <w:tab w:val="left" w:pos="9072"/>
        </w:tabs>
        <w:spacing w:line="300" w:lineRule="exact"/>
        <w:ind w:right="283"/>
        <w:jc w:val="both"/>
        <w:rPr>
          <w:rFonts w:ascii="CorpoS" w:hAnsi="CorpoS"/>
          <w:sz w:val="22"/>
          <w:szCs w:val="22"/>
        </w:rPr>
      </w:pPr>
    </w:p>
    <w:p w14:paraId="020C9B1B" w14:textId="4E19B7D2" w:rsidR="009D65F9" w:rsidRPr="00F67122" w:rsidRDefault="009D65F9" w:rsidP="009D65F9">
      <w:pPr>
        <w:tabs>
          <w:tab w:val="left" w:pos="7655"/>
          <w:tab w:val="left" w:pos="9072"/>
        </w:tabs>
        <w:spacing w:line="300" w:lineRule="exact"/>
        <w:ind w:right="283"/>
        <w:jc w:val="both"/>
        <w:rPr>
          <w:rFonts w:ascii="CorpoS" w:hAnsi="CorpoS"/>
          <w:b/>
          <w:sz w:val="22"/>
          <w:szCs w:val="22"/>
        </w:rPr>
      </w:pPr>
      <w:r>
        <w:rPr>
          <w:rFonts w:ascii="CorpoS" w:hAnsi="CorpoS"/>
          <w:b/>
          <w:sz w:val="22"/>
        </w:rPr>
        <w:t>Free cash flow more than doubled</w:t>
      </w:r>
    </w:p>
    <w:p w14:paraId="7D6B7D36" w14:textId="374671FD" w:rsidR="009D65F9" w:rsidRPr="00342329" w:rsidRDefault="00F67122" w:rsidP="00F53225">
      <w:pPr>
        <w:tabs>
          <w:tab w:val="left" w:pos="7655"/>
          <w:tab w:val="left" w:pos="9072"/>
        </w:tabs>
        <w:spacing w:line="300" w:lineRule="exact"/>
        <w:ind w:right="283"/>
        <w:jc w:val="both"/>
        <w:rPr>
          <w:rFonts w:ascii="CorpoS" w:hAnsi="CorpoS"/>
          <w:sz w:val="22"/>
          <w:szCs w:val="22"/>
        </w:rPr>
      </w:pPr>
      <w:r>
        <w:rPr>
          <w:rFonts w:ascii="CorpoS" w:hAnsi="CorpoS"/>
          <w:sz w:val="22"/>
        </w:rPr>
        <w:t xml:space="preserve">MTU more than doubled its free cash flow from €105 million to €240 million in 2021. The cash conversion rate was 70%, up from 35% in 2020. “With a cash conversion rate in the high double-digit percentage range, we fully achieved our target for the year,” said </w:t>
      </w:r>
      <w:proofErr w:type="spellStart"/>
      <w:r>
        <w:rPr>
          <w:rFonts w:ascii="CorpoS" w:hAnsi="CorpoS"/>
          <w:sz w:val="22"/>
        </w:rPr>
        <w:t>Kameritsch</w:t>
      </w:r>
      <w:proofErr w:type="spellEnd"/>
      <w:r>
        <w:rPr>
          <w:rFonts w:ascii="CorpoS" w:hAnsi="CorpoS"/>
          <w:sz w:val="22"/>
        </w:rPr>
        <w:t>.</w:t>
      </w:r>
    </w:p>
    <w:p w14:paraId="557E2636" w14:textId="77777777" w:rsidR="008A55CA" w:rsidRPr="00F8268F" w:rsidRDefault="008A55CA" w:rsidP="009D65F9">
      <w:pPr>
        <w:tabs>
          <w:tab w:val="left" w:pos="7655"/>
          <w:tab w:val="left" w:pos="7938"/>
        </w:tabs>
        <w:spacing w:line="300" w:lineRule="exact"/>
        <w:ind w:right="283"/>
        <w:jc w:val="both"/>
        <w:rPr>
          <w:rFonts w:ascii="CorpoS" w:hAnsi="CorpoS"/>
          <w:sz w:val="22"/>
          <w:szCs w:val="22"/>
        </w:rPr>
      </w:pPr>
    </w:p>
    <w:p w14:paraId="1FAF7249" w14:textId="77777777" w:rsidR="009D65F9" w:rsidRPr="000D3F29" w:rsidRDefault="009D65F9" w:rsidP="009D65F9">
      <w:pPr>
        <w:tabs>
          <w:tab w:val="left" w:pos="7655"/>
          <w:tab w:val="left" w:pos="7938"/>
        </w:tabs>
        <w:spacing w:line="300" w:lineRule="exact"/>
        <w:ind w:right="283"/>
        <w:jc w:val="both"/>
        <w:rPr>
          <w:rFonts w:ascii="CorpoS" w:hAnsi="CorpoS"/>
          <w:b/>
          <w:sz w:val="22"/>
          <w:szCs w:val="22"/>
        </w:rPr>
      </w:pPr>
      <w:r>
        <w:rPr>
          <w:rFonts w:ascii="CorpoS" w:hAnsi="CorpoS"/>
          <w:b/>
          <w:sz w:val="22"/>
        </w:rPr>
        <w:t>Property, plant and equipment</w:t>
      </w:r>
    </w:p>
    <w:p w14:paraId="28C02320" w14:textId="5A2359F3" w:rsidR="009D65F9" w:rsidRPr="00D100C5" w:rsidRDefault="00AB5B4C" w:rsidP="009D65F9">
      <w:pPr>
        <w:tabs>
          <w:tab w:val="left" w:pos="7655"/>
          <w:tab w:val="left" w:pos="9072"/>
        </w:tabs>
        <w:spacing w:line="300" w:lineRule="exact"/>
        <w:ind w:right="283"/>
        <w:jc w:val="both"/>
        <w:rPr>
          <w:rFonts w:ascii="CorpoS" w:hAnsi="CorpoS"/>
          <w:sz w:val="22"/>
          <w:szCs w:val="22"/>
        </w:rPr>
      </w:pPr>
      <w:r>
        <w:rPr>
          <w:rFonts w:ascii="CorpoS" w:hAnsi="CorpoS"/>
          <w:sz w:val="22"/>
        </w:rPr>
        <w:t>Net capital expenditure for property, plant and equipment increased by 35% to €241 million in 2021 (2020: €179 million). “In Germany, our focus was on automation and digitalization projects. We therefore continued to expand our technology and cost leadership and prepared for the upcoming ramp-up of production. We also started to build up production capacity in Serbia,” explained Wink</w:t>
      </w:r>
      <w:r w:rsidR="006E149E">
        <w:rPr>
          <w:rFonts w:ascii="CorpoS" w:hAnsi="CorpoS"/>
          <w:sz w:val="22"/>
        </w:rPr>
        <w:t>l</w:t>
      </w:r>
      <w:r>
        <w:rPr>
          <w:rFonts w:ascii="CorpoS" w:hAnsi="CorpoS"/>
          <w:sz w:val="22"/>
        </w:rPr>
        <w:t>er.</w:t>
      </w:r>
    </w:p>
    <w:p w14:paraId="6358F62A" w14:textId="77777777" w:rsidR="0081427D" w:rsidRPr="00F8268F" w:rsidRDefault="0081427D" w:rsidP="009D65F9">
      <w:pPr>
        <w:tabs>
          <w:tab w:val="left" w:pos="7938"/>
        </w:tabs>
        <w:spacing w:after="10" w:line="300" w:lineRule="exact"/>
        <w:ind w:right="284"/>
        <w:jc w:val="both"/>
        <w:rPr>
          <w:rFonts w:ascii="CorpoS" w:eastAsia="SimSun" w:hAnsi="CorpoS"/>
          <w:sz w:val="22"/>
          <w:szCs w:val="22"/>
          <w:lang w:eastAsia="zh-CN"/>
        </w:rPr>
      </w:pPr>
    </w:p>
    <w:p w14:paraId="04C67242" w14:textId="481F8977" w:rsidR="009D65F9" w:rsidRPr="000D3F29" w:rsidRDefault="005C007B" w:rsidP="009D65F9">
      <w:pPr>
        <w:tabs>
          <w:tab w:val="left" w:pos="7938"/>
        </w:tabs>
        <w:spacing w:after="10" w:line="300" w:lineRule="exact"/>
        <w:ind w:right="284"/>
        <w:jc w:val="both"/>
        <w:rPr>
          <w:rFonts w:ascii="CorpoS" w:eastAsia="SimSun" w:hAnsi="CorpoS"/>
          <w:b/>
          <w:sz w:val="22"/>
          <w:szCs w:val="22"/>
        </w:rPr>
      </w:pPr>
      <w:r>
        <w:rPr>
          <w:rFonts w:ascii="CorpoS" w:hAnsi="CorpoS"/>
          <w:b/>
          <w:sz w:val="22"/>
        </w:rPr>
        <w:t>10,508 employees</w:t>
      </w:r>
    </w:p>
    <w:p w14:paraId="4C1A12D6" w14:textId="5F5B756E" w:rsidR="009D65F9" w:rsidRPr="00B4335E" w:rsidRDefault="00740881" w:rsidP="009D65F9">
      <w:pPr>
        <w:tabs>
          <w:tab w:val="left" w:pos="7938"/>
        </w:tabs>
        <w:spacing w:after="10" w:line="300" w:lineRule="exact"/>
        <w:ind w:right="284"/>
        <w:jc w:val="both"/>
        <w:rPr>
          <w:rFonts w:ascii="CorpoS" w:eastAsia="SimSun" w:hAnsi="CorpoS"/>
          <w:color w:val="FF0000"/>
          <w:sz w:val="22"/>
          <w:szCs w:val="22"/>
        </w:rPr>
      </w:pPr>
      <w:r>
        <w:rPr>
          <w:rFonts w:ascii="CorpoS" w:hAnsi="CorpoS"/>
          <w:sz w:val="22"/>
        </w:rPr>
        <w:t xml:space="preserve">MTU had 10,508 employees on December 31, 2021 (December 31, 2020: 10,313 employees). </w:t>
      </w:r>
    </w:p>
    <w:p w14:paraId="1F5172D0" w14:textId="6075EEA8" w:rsidR="009D65F9" w:rsidRPr="00F8268F" w:rsidRDefault="009D65F9" w:rsidP="009D65F9">
      <w:pPr>
        <w:tabs>
          <w:tab w:val="left" w:pos="7655"/>
          <w:tab w:val="left" w:pos="9072"/>
        </w:tabs>
        <w:spacing w:line="300" w:lineRule="exact"/>
        <w:ind w:right="283"/>
        <w:jc w:val="both"/>
        <w:rPr>
          <w:rFonts w:ascii="CorpoS" w:eastAsia="SimSun" w:hAnsi="CorpoS"/>
          <w:sz w:val="22"/>
          <w:szCs w:val="22"/>
          <w:lang w:eastAsia="zh-CN"/>
        </w:rPr>
      </w:pPr>
    </w:p>
    <w:p w14:paraId="12AE4B97" w14:textId="13FDCC31" w:rsidR="006D238D" w:rsidRDefault="009D65F9" w:rsidP="006D238D">
      <w:pPr>
        <w:autoSpaceDE w:val="0"/>
        <w:autoSpaceDN w:val="0"/>
        <w:adjustRightInd w:val="0"/>
        <w:spacing w:after="10" w:line="300" w:lineRule="exact"/>
        <w:ind w:right="284"/>
        <w:rPr>
          <w:rFonts w:ascii="CorpoS" w:hAnsi="CorpoS"/>
          <w:sz w:val="22"/>
        </w:rPr>
      </w:pPr>
      <w:r>
        <w:rPr>
          <w:rFonts w:ascii="CorpoS" w:hAnsi="CorpoS"/>
          <w:sz w:val="22"/>
        </w:rPr>
        <w:t>MTU Aero Engines will publish its Annual Report on March 23, 2022.</w:t>
      </w:r>
    </w:p>
    <w:p w14:paraId="02685803" w14:textId="1A9875BA" w:rsidR="00766743" w:rsidRPr="007E6CD3" w:rsidRDefault="00D822B2" w:rsidP="006D238D">
      <w:pPr>
        <w:autoSpaceDE w:val="0"/>
        <w:autoSpaceDN w:val="0"/>
        <w:adjustRightInd w:val="0"/>
        <w:spacing w:after="10" w:line="300" w:lineRule="exact"/>
        <w:ind w:right="284"/>
        <w:rPr>
          <w:rFonts w:ascii="CorpoS" w:hAnsi="CorpoS"/>
          <w:b/>
          <w:sz w:val="22"/>
          <w:szCs w:val="22"/>
        </w:rPr>
      </w:pPr>
      <w:r>
        <w:rPr>
          <w:rFonts w:ascii="CorpoS" w:hAnsi="CorpoS"/>
          <w:b/>
          <w:sz w:val="22"/>
        </w:rPr>
        <w:lastRenderedPageBreak/>
        <w:t>MTU Aero Engines – Key financial data for 2021</w:t>
      </w:r>
    </w:p>
    <w:p w14:paraId="78051FB0" w14:textId="1DFB35E7" w:rsidR="003536F8" w:rsidRDefault="006F6672" w:rsidP="00766743">
      <w:pPr>
        <w:tabs>
          <w:tab w:val="left" w:pos="7938"/>
        </w:tabs>
        <w:autoSpaceDE w:val="0"/>
        <w:autoSpaceDN w:val="0"/>
        <w:adjustRightInd w:val="0"/>
        <w:ind w:right="283"/>
        <w:rPr>
          <w:rFonts w:ascii="CorpoS" w:hAnsi="CorpoS"/>
          <w:i/>
          <w:sz w:val="18"/>
          <w:szCs w:val="18"/>
        </w:rPr>
      </w:pPr>
      <w:r>
        <w:rPr>
          <w:rFonts w:ascii="CorpoS" w:hAnsi="CorpoS"/>
          <w:i/>
          <w:sz w:val="18"/>
        </w:rPr>
        <w:t>(Amounts in € million)</w:t>
      </w:r>
    </w:p>
    <w:p w14:paraId="494F9491" w14:textId="77777777" w:rsidR="00190369" w:rsidRDefault="00190369" w:rsidP="00766743">
      <w:pPr>
        <w:tabs>
          <w:tab w:val="left" w:pos="7938"/>
        </w:tabs>
        <w:autoSpaceDE w:val="0"/>
        <w:autoSpaceDN w:val="0"/>
        <w:adjustRightInd w:val="0"/>
        <w:ind w:right="283"/>
        <w:rPr>
          <w:rFonts w:ascii="CorpoS" w:hAnsi="CorpoS"/>
          <w:i/>
          <w:sz w:val="18"/>
          <w:szCs w:val="18"/>
          <w:lang w:val="de-DE"/>
        </w:rPr>
      </w:pPr>
    </w:p>
    <w:p w14:paraId="0565B103" w14:textId="77777777" w:rsidR="00FB7E9B" w:rsidRPr="007E6CD3" w:rsidRDefault="00FB7E9B" w:rsidP="00766743">
      <w:pPr>
        <w:tabs>
          <w:tab w:val="left" w:pos="7938"/>
        </w:tabs>
        <w:autoSpaceDE w:val="0"/>
        <w:autoSpaceDN w:val="0"/>
        <w:adjustRightInd w:val="0"/>
        <w:ind w:right="283"/>
        <w:rPr>
          <w:rFonts w:ascii="CorpoS" w:hAnsi="CorpoS"/>
          <w:i/>
          <w:sz w:val="18"/>
          <w:szCs w:val="18"/>
          <w:lang w:val="de-DE"/>
        </w:rPr>
      </w:pPr>
    </w:p>
    <w:p w14:paraId="779D9068" w14:textId="77777777" w:rsidR="00511729" w:rsidRPr="007E6CD3" w:rsidRDefault="00511729" w:rsidP="00511729">
      <w:pPr>
        <w:tabs>
          <w:tab w:val="left" w:pos="7938"/>
        </w:tabs>
        <w:autoSpaceDE w:val="0"/>
        <w:autoSpaceDN w:val="0"/>
        <w:adjustRightInd w:val="0"/>
        <w:ind w:right="283"/>
        <w:rPr>
          <w:rFonts w:ascii="CorpoS" w:hAnsi="CorpoS"/>
          <w:i/>
          <w:sz w:val="10"/>
          <w:szCs w:val="10"/>
          <w:lang w:val="de-DE"/>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1134"/>
        <w:gridCol w:w="1134"/>
        <w:gridCol w:w="1276"/>
        <w:gridCol w:w="1276"/>
        <w:gridCol w:w="1418"/>
      </w:tblGrid>
      <w:tr w:rsidR="00F014F0" w:rsidRPr="00F014F0" w14:paraId="05EF268D" w14:textId="77777777" w:rsidTr="00722F0A">
        <w:tc>
          <w:tcPr>
            <w:tcW w:w="3969" w:type="dxa"/>
            <w:tcBorders>
              <w:right w:val="single" w:sz="4" w:space="0" w:color="auto"/>
            </w:tcBorders>
            <w:shd w:val="clear" w:color="auto" w:fill="auto"/>
          </w:tcPr>
          <w:p w14:paraId="72B9E515" w14:textId="77777777" w:rsidR="00112495" w:rsidRPr="00F014F0" w:rsidRDefault="00112495" w:rsidP="00722F0A">
            <w:pPr>
              <w:rPr>
                <w:rFonts w:ascii="CorpoS" w:hAnsi="CorpoS"/>
                <w:b/>
                <w:sz w:val="22"/>
                <w:szCs w:val="22"/>
              </w:rPr>
            </w:pPr>
            <w:r>
              <w:rPr>
                <w:rFonts w:ascii="CorpoS" w:hAnsi="CorpoS"/>
                <w:b/>
                <w:sz w:val="22"/>
              </w:rPr>
              <w:t>MTU Aero Engines</w:t>
            </w:r>
          </w:p>
          <w:p w14:paraId="609647D8" w14:textId="77777777" w:rsidR="00112495" w:rsidRPr="00F014F0" w:rsidRDefault="00112495" w:rsidP="00722F0A">
            <w:pPr>
              <w:rPr>
                <w:rFonts w:ascii="CorpoS" w:hAnsi="CorpoS"/>
                <w:b/>
                <w:sz w:val="22"/>
                <w:szCs w:val="22"/>
              </w:rPr>
            </w:pPr>
          </w:p>
        </w:tc>
        <w:tc>
          <w:tcPr>
            <w:tcW w:w="1134" w:type="dxa"/>
            <w:tcBorders>
              <w:left w:val="single" w:sz="4" w:space="0" w:color="auto"/>
              <w:right w:val="single" w:sz="4" w:space="0" w:color="auto"/>
            </w:tcBorders>
          </w:tcPr>
          <w:p w14:paraId="004F14FF" w14:textId="59E2F440" w:rsidR="00112495" w:rsidRPr="00F014F0" w:rsidRDefault="00112495" w:rsidP="00B4335E">
            <w:pPr>
              <w:jc w:val="right"/>
              <w:rPr>
                <w:rFonts w:ascii="CorpoS" w:hAnsi="CorpoS"/>
                <w:b/>
                <w:sz w:val="22"/>
                <w:szCs w:val="22"/>
              </w:rPr>
            </w:pPr>
            <w:r>
              <w:rPr>
                <w:rFonts w:ascii="CorpoS" w:hAnsi="CorpoS"/>
                <w:b/>
                <w:sz w:val="22"/>
              </w:rPr>
              <w:t>Q4 2020</w:t>
            </w:r>
          </w:p>
        </w:tc>
        <w:tc>
          <w:tcPr>
            <w:tcW w:w="1134" w:type="dxa"/>
            <w:tcBorders>
              <w:left w:val="single" w:sz="4" w:space="0" w:color="auto"/>
              <w:right w:val="single" w:sz="18" w:space="0" w:color="auto"/>
            </w:tcBorders>
          </w:tcPr>
          <w:p w14:paraId="74E520D9" w14:textId="0590CC97" w:rsidR="00112495" w:rsidRPr="00F014F0" w:rsidRDefault="00112495" w:rsidP="00F014F0">
            <w:pPr>
              <w:jc w:val="right"/>
              <w:rPr>
                <w:rFonts w:ascii="CorpoS" w:hAnsi="CorpoS"/>
                <w:b/>
                <w:sz w:val="22"/>
                <w:szCs w:val="22"/>
              </w:rPr>
            </w:pPr>
            <w:r>
              <w:rPr>
                <w:rFonts w:ascii="CorpoS" w:hAnsi="CorpoS"/>
                <w:b/>
                <w:sz w:val="22"/>
              </w:rPr>
              <w:t>Q4 2021</w:t>
            </w:r>
          </w:p>
        </w:tc>
        <w:tc>
          <w:tcPr>
            <w:tcW w:w="1276" w:type="dxa"/>
            <w:tcBorders>
              <w:top w:val="single" w:sz="18" w:space="0" w:color="auto"/>
              <w:left w:val="single" w:sz="18" w:space="0" w:color="auto"/>
            </w:tcBorders>
            <w:shd w:val="clear" w:color="auto" w:fill="auto"/>
          </w:tcPr>
          <w:p w14:paraId="152A171A" w14:textId="4319D543" w:rsidR="00112495" w:rsidRPr="00F014F0" w:rsidRDefault="00112495" w:rsidP="00722F0A">
            <w:pPr>
              <w:jc w:val="right"/>
              <w:rPr>
                <w:rFonts w:ascii="CorpoS" w:hAnsi="CorpoS"/>
                <w:b/>
                <w:sz w:val="22"/>
                <w:szCs w:val="22"/>
              </w:rPr>
            </w:pPr>
            <w:r>
              <w:rPr>
                <w:rFonts w:ascii="CorpoS" w:hAnsi="CorpoS"/>
                <w:b/>
                <w:sz w:val="22"/>
              </w:rPr>
              <w:t>as of Dec. 2020</w:t>
            </w:r>
          </w:p>
          <w:p w14:paraId="0AC50276" w14:textId="77777777" w:rsidR="00112495" w:rsidRPr="00F014F0" w:rsidRDefault="00112495" w:rsidP="00722F0A">
            <w:pPr>
              <w:jc w:val="right"/>
              <w:rPr>
                <w:rFonts w:ascii="CorpoS" w:hAnsi="CorpoS"/>
                <w:i/>
                <w:sz w:val="16"/>
                <w:szCs w:val="16"/>
                <w:lang w:val="de-DE"/>
              </w:rPr>
            </w:pPr>
          </w:p>
        </w:tc>
        <w:tc>
          <w:tcPr>
            <w:tcW w:w="1276" w:type="dxa"/>
            <w:tcBorders>
              <w:top w:val="single" w:sz="18" w:space="0" w:color="auto"/>
            </w:tcBorders>
            <w:shd w:val="clear" w:color="auto" w:fill="auto"/>
          </w:tcPr>
          <w:p w14:paraId="42FC1D51" w14:textId="02A95FB3" w:rsidR="00112495" w:rsidRPr="00F014F0" w:rsidRDefault="00112495" w:rsidP="00B4335E">
            <w:pPr>
              <w:jc w:val="right"/>
              <w:rPr>
                <w:rFonts w:ascii="CorpoS" w:hAnsi="CorpoS"/>
                <w:b/>
                <w:sz w:val="22"/>
                <w:szCs w:val="22"/>
              </w:rPr>
            </w:pPr>
            <w:r>
              <w:rPr>
                <w:rFonts w:ascii="CorpoS" w:hAnsi="CorpoS"/>
                <w:b/>
                <w:sz w:val="22"/>
              </w:rPr>
              <w:t>as of Dec. 2021</w:t>
            </w:r>
          </w:p>
        </w:tc>
        <w:tc>
          <w:tcPr>
            <w:tcW w:w="1418" w:type="dxa"/>
            <w:tcBorders>
              <w:top w:val="single" w:sz="18" w:space="0" w:color="auto"/>
              <w:right w:val="single" w:sz="18" w:space="0" w:color="auto"/>
            </w:tcBorders>
            <w:shd w:val="clear" w:color="auto" w:fill="auto"/>
          </w:tcPr>
          <w:p w14:paraId="5CFD8BF5" w14:textId="77777777" w:rsidR="00112495" w:rsidRPr="00F014F0" w:rsidRDefault="00112495" w:rsidP="00722F0A">
            <w:pPr>
              <w:ind w:right="33"/>
              <w:rPr>
                <w:rFonts w:ascii="CorpoS" w:hAnsi="CorpoS"/>
                <w:b/>
                <w:sz w:val="22"/>
                <w:szCs w:val="22"/>
              </w:rPr>
            </w:pPr>
            <w:r>
              <w:rPr>
                <w:rFonts w:ascii="CorpoS" w:hAnsi="CorpoS"/>
                <w:b/>
                <w:sz w:val="22"/>
              </w:rPr>
              <w:t>Change</w:t>
            </w:r>
          </w:p>
        </w:tc>
      </w:tr>
      <w:tr w:rsidR="002975CF" w:rsidRPr="00C74F90" w14:paraId="77FDCDD2" w14:textId="77777777" w:rsidTr="00722F0A">
        <w:tc>
          <w:tcPr>
            <w:tcW w:w="3969" w:type="dxa"/>
            <w:tcBorders>
              <w:right w:val="single" w:sz="4" w:space="0" w:color="auto"/>
            </w:tcBorders>
            <w:shd w:val="clear" w:color="auto" w:fill="auto"/>
          </w:tcPr>
          <w:p w14:paraId="42A69BF4" w14:textId="77777777" w:rsidR="002975CF" w:rsidRPr="00C74F90" w:rsidRDefault="002975CF" w:rsidP="002975CF">
            <w:pPr>
              <w:rPr>
                <w:rFonts w:ascii="CorpoS" w:hAnsi="CorpoS"/>
                <w:sz w:val="22"/>
                <w:szCs w:val="22"/>
              </w:rPr>
            </w:pPr>
            <w:r>
              <w:rPr>
                <w:rFonts w:ascii="CorpoS" w:hAnsi="CorpoS"/>
                <w:sz w:val="22"/>
              </w:rPr>
              <w:t>Revenue</w:t>
            </w:r>
          </w:p>
        </w:tc>
        <w:tc>
          <w:tcPr>
            <w:tcW w:w="1134" w:type="dxa"/>
            <w:tcBorders>
              <w:left w:val="single" w:sz="4" w:space="0" w:color="auto"/>
              <w:right w:val="single" w:sz="4" w:space="0" w:color="auto"/>
            </w:tcBorders>
            <w:vAlign w:val="center"/>
          </w:tcPr>
          <w:p w14:paraId="0CB9CA58" w14:textId="485A4D54"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1,020</w:t>
            </w:r>
          </w:p>
        </w:tc>
        <w:tc>
          <w:tcPr>
            <w:tcW w:w="1134" w:type="dxa"/>
            <w:tcBorders>
              <w:left w:val="single" w:sz="4" w:space="0" w:color="auto"/>
              <w:right w:val="single" w:sz="18" w:space="0" w:color="auto"/>
            </w:tcBorders>
            <w:vAlign w:val="center"/>
          </w:tcPr>
          <w:p w14:paraId="4E943842" w14:textId="62AC5BA5"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w:t>
            </w:r>
            <w:r w:rsidR="002C7132">
              <w:rPr>
                <w:rFonts w:ascii="CorpoS" w:hAnsi="CorpoS"/>
                <w:sz w:val="22"/>
              </w:rPr>
              <w:t>,</w:t>
            </w:r>
            <w:r>
              <w:rPr>
                <w:rFonts w:ascii="CorpoS" w:hAnsi="CorpoS"/>
                <w:sz w:val="22"/>
              </w:rPr>
              <w:t>180</w:t>
            </w:r>
          </w:p>
        </w:tc>
        <w:tc>
          <w:tcPr>
            <w:tcW w:w="1276" w:type="dxa"/>
            <w:tcBorders>
              <w:left w:val="single" w:sz="18" w:space="0" w:color="auto"/>
            </w:tcBorders>
            <w:shd w:val="clear" w:color="auto" w:fill="auto"/>
            <w:vAlign w:val="center"/>
          </w:tcPr>
          <w:p w14:paraId="273F0ED9" w14:textId="0944C40D"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3</w:t>
            </w:r>
            <w:r w:rsidR="002C7132">
              <w:rPr>
                <w:rFonts w:ascii="CorpoS" w:hAnsi="CorpoS"/>
                <w:sz w:val="22"/>
              </w:rPr>
              <w:t>,</w:t>
            </w:r>
            <w:r>
              <w:rPr>
                <w:rFonts w:ascii="CorpoS" w:hAnsi="CorpoS"/>
                <w:sz w:val="22"/>
              </w:rPr>
              <w:t>977</w:t>
            </w:r>
          </w:p>
        </w:tc>
        <w:tc>
          <w:tcPr>
            <w:tcW w:w="1276" w:type="dxa"/>
            <w:shd w:val="clear" w:color="auto" w:fill="auto"/>
            <w:vAlign w:val="center"/>
          </w:tcPr>
          <w:p w14:paraId="392970A0" w14:textId="2E21EAE9"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w:t>
            </w:r>
            <w:r w:rsidR="002C7132">
              <w:rPr>
                <w:rFonts w:ascii="CorpoS" w:hAnsi="CorpoS"/>
                <w:sz w:val="22"/>
              </w:rPr>
              <w:t>,</w:t>
            </w:r>
            <w:r>
              <w:rPr>
                <w:rFonts w:ascii="CorpoS" w:hAnsi="CorpoS"/>
                <w:sz w:val="22"/>
              </w:rPr>
              <w:t>188</w:t>
            </w:r>
          </w:p>
        </w:tc>
        <w:tc>
          <w:tcPr>
            <w:tcW w:w="1418" w:type="dxa"/>
            <w:tcBorders>
              <w:right w:val="single" w:sz="18" w:space="0" w:color="auto"/>
            </w:tcBorders>
            <w:shd w:val="clear" w:color="auto" w:fill="auto"/>
            <w:vAlign w:val="center"/>
          </w:tcPr>
          <w:p w14:paraId="05D28325" w14:textId="338AC9C2"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+5%</w:t>
            </w:r>
          </w:p>
        </w:tc>
      </w:tr>
      <w:tr w:rsidR="002975CF" w:rsidRPr="00C74F90" w14:paraId="73BC51B1" w14:textId="77777777" w:rsidTr="00722F0A">
        <w:tc>
          <w:tcPr>
            <w:tcW w:w="3969" w:type="dxa"/>
            <w:tcBorders>
              <w:right w:val="single" w:sz="4" w:space="0" w:color="auto"/>
            </w:tcBorders>
            <w:shd w:val="clear" w:color="auto" w:fill="auto"/>
          </w:tcPr>
          <w:p w14:paraId="5ECDF802" w14:textId="77777777" w:rsidR="002975CF" w:rsidRPr="00C74F90" w:rsidRDefault="002975CF" w:rsidP="002975CF">
            <w:pPr>
              <w:rPr>
                <w:rFonts w:ascii="CorpoS" w:hAnsi="CorpoS"/>
                <w:sz w:val="22"/>
                <w:szCs w:val="22"/>
              </w:rPr>
            </w:pPr>
            <w:r>
              <w:rPr>
                <w:rFonts w:ascii="CorpoS" w:hAnsi="CorpoS"/>
                <w:sz w:val="22"/>
              </w:rPr>
              <w:t xml:space="preserve">   thereof OEM business</w:t>
            </w:r>
          </w:p>
        </w:tc>
        <w:tc>
          <w:tcPr>
            <w:tcW w:w="1134" w:type="dxa"/>
            <w:tcBorders>
              <w:left w:val="single" w:sz="4" w:space="0" w:color="auto"/>
              <w:right w:val="single" w:sz="4" w:space="0" w:color="auto"/>
            </w:tcBorders>
            <w:vAlign w:val="center"/>
          </w:tcPr>
          <w:p w14:paraId="1EB05559" w14:textId="09915155"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388</w:t>
            </w:r>
          </w:p>
        </w:tc>
        <w:tc>
          <w:tcPr>
            <w:tcW w:w="1134" w:type="dxa"/>
            <w:tcBorders>
              <w:left w:val="single" w:sz="4" w:space="0" w:color="auto"/>
              <w:right w:val="single" w:sz="18" w:space="0" w:color="auto"/>
            </w:tcBorders>
            <w:vAlign w:val="center"/>
          </w:tcPr>
          <w:p w14:paraId="6DC6EB08" w14:textId="728AB880"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473</w:t>
            </w:r>
          </w:p>
        </w:tc>
        <w:tc>
          <w:tcPr>
            <w:tcW w:w="1276" w:type="dxa"/>
            <w:tcBorders>
              <w:left w:val="single" w:sz="18" w:space="0" w:color="auto"/>
            </w:tcBorders>
            <w:shd w:val="clear" w:color="auto" w:fill="auto"/>
            <w:vAlign w:val="center"/>
          </w:tcPr>
          <w:p w14:paraId="0333787D" w14:textId="663DAB5C"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w:t>
            </w:r>
            <w:r w:rsidR="002C7132">
              <w:rPr>
                <w:rFonts w:ascii="CorpoS" w:hAnsi="CorpoS"/>
                <w:sz w:val="22"/>
              </w:rPr>
              <w:t>,</w:t>
            </w:r>
            <w:r>
              <w:rPr>
                <w:rFonts w:ascii="CorpoS" w:hAnsi="CorpoS"/>
                <w:sz w:val="22"/>
              </w:rPr>
              <w:t>535</w:t>
            </w:r>
          </w:p>
        </w:tc>
        <w:tc>
          <w:tcPr>
            <w:tcW w:w="1276" w:type="dxa"/>
            <w:shd w:val="clear" w:color="auto" w:fill="auto"/>
            <w:vAlign w:val="center"/>
          </w:tcPr>
          <w:p w14:paraId="68A1FA25" w14:textId="66E3C388"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w:t>
            </w:r>
            <w:r w:rsidR="002C7132">
              <w:rPr>
                <w:rFonts w:ascii="CorpoS" w:hAnsi="CorpoS"/>
                <w:sz w:val="22"/>
              </w:rPr>
              <w:t>,</w:t>
            </w:r>
            <w:r>
              <w:rPr>
                <w:rFonts w:ascii="CorpoS" w:hAnsi="CorpoS"/>
                <w:sz w:val="22"/>
              </w:rPr>
              <w:t>547</w:t>
            </w:r>
          </w:p>
        </w:tc>
        <w:tc>
          <w:tcPr>
            <w:tcW w:w="1418" w:type="dxa"/>
            <w:tcBorders>
              <w:right w:val="single" w:sz="18" w:space="0" w:color="auto"/>
            </w:tcBorders>
            <w:shd w:val="clear" w:color="auto" w:fill="auto"/>
            <w:vAlign w:val="center"/>
          </w:tcPr>
          <w:p w14:paraId="29065A20" w14:textId="6E6ADCC8"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w:t>
            </w:r>
          </w:p>
        </w:tc>
      </w:tr>
      <w:tr w:rsidR="002975CF" w:rsidRPr="00C74F90" w14:paraId="769052FE" w14:textId="77777777" w:rsidTr="00722F0A">
        <w:tc>
          <w:tcPr>
            <w:tcW w:w="3969" w:type="dxa"/>
            <w:tcBorders>
              <w:right w:val="single" w:sz="4" w:space="0" w:color="auto"/>
            </w:tcBorders>
            <w:shd w:val="clear" w:color="auto" w:fill="auto"/>
          </w:tcPr>
          <w:p w14:paraId="1A96EBDD" w14:textId="77777777" w:rsidR="002975CF" w:rsidRPr="00C74F90" w:rsidRDefault="002975CF" w:rsidP="002975CF">
            <w:pPr>
              <w:rPr>
                <w:rFonts w:ascii="CorpoS" w:hAnsi="CorpoS"/>
                <w:sz w:val="22"/>
                <w:szCs w:val="22"/>
              </w:rPr>
            </w:pPr>
            <w:r>
              <w:rPr>
                <w:rFonts w:ascii="CorpoS" w:hAnsi="CorpoS"/>
                <w:sz w:val="22"/>
              </w:rPr>
              <w:t xml:space="preserve">          thereof commercial engine business</w:t>
            </w:r>
          </w:p>
        </w:tc>
        <w:tc>
          <w:tcPr>
            <w:tcW w:w="1134" w:type="dxa"/>
            <w:tcBorders>
              <w:left w:val="single" w:sz="4" w:space="0" w:color="auto"/>
              <w:right w:val="single" w:sz="4" w:space="0" w:color="auto"/>
            </w:tcBorders>
            <w:vAlign w:val="center"/>
          </w:tcPr>
          <w:p w14:paraId="2AE33ACE" w14:textId="58F9CC8E"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202</w:t>
            </w:r>
          </w:p>
        </w:tc>
        <w:tc>
          <w:tcPr>
            <w:tcW w:w="1134" w:type="dxa"/>
            <w:tcBorders>
              <w:left w:val="single" w:sz="4" w:space="0" w:color="auto"/>
              <w:right w:val="single" w:sz="18" w:space="0" w:color="auto"/>
            </w:tcBorders>
            <w:vAlign w:val="center"/>
          </w:tcPr>
          <w:p w14:paraId="6A53A92E" w14:textId="03237067"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300</w:t>
            </w:r>
          </w:p>
        </w:tc>
        <w:tc>
          <w:tcPr>
            <w:tcW w:w="1276" w:type="dxa"/>
            <w:tcBorders>
              <w:left w:val="single" w:sz="18" w:space="0" w:color="auto"/>
            </w:tcBorders>
            <w:shd w:val="clear" w:color="auto" w:fill="auto"/>
            <w:vAlign w:val="center"/>
          </w:tcPr>
          <w:p w14:paraId="268E3A54" w14:textId="4AD133D0"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w:t>
            </w:r>
            <w:r w:rsidR="002C7132">
              <w:rPr>
                <w:rFonts w:ascii="CorpoS" w:hAnsi="CorpoS"/>
                <w:sz w:val="22"/>
              </w:rPr>
              <w:t>,</w:t>
            </w:r>
            <w:r>
              <w:rPr>
                <w:rFonts w:ascii="CorpoS" w:hAnsi="CorpoS"/>
                <w:sz w:val="22"/>
              </w:rPr>
              <w:t>052</w:t>
            </w:r>
          </w:p>
        </w:tc>
        <w:tc>
          <w:tcPr>
            <w:tcW w:w="1276" w:type="dxa"/>
            <w:shd w:val="clear" w:color="auto" w:fill="auto"/>
            <w:vAlign w:val="center"/>
          </w:tcPr>
          <w:p w14:paraId="39608295" w14:textId="56BD929F"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w:t>
            </w:r>
            <w:r w:rsidR="002C7132">
              <w:rPr>
                <w:rFonts w:ascii="CorpoS" w:hAnsi="CorpoS"/>
                <w:sz w:val="22"/>
              </w:rPr>
              <w:t>,</w:t>
            </w:r>
            <w:r>
              <w:rPr>
                <w:rFonts w:ascii="CorpoS" w:hAnsi="CorpoS"/>
                <w:sz w:val="22"/>
              </w:rPr>
              <w:t>066</w:t>
            </w:r>
          </w:p>
        </w:tc>
        <w:tc>
          <w:tcPr>
            <w:tcW w:w="1418" w:type="dxa"/>
            <w:tcBorders>
              <w:right w:val="single" w:sz="18" w:space="0" w:color="auto"/>
            </w:tcBorders>
            <w:shd w:val="clear" w:color="auto" w:fill="auto"/>
            <w:vAlign w:val="center"/>
          </w:tcPr>
          <w:p w14:paraId="467E4E58" w14:textId="14A4E589"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w:t>
            </w:r>
          </w:p>
        </w:tc>
      </w:tr>
      <w:tr w:rsidR="002975CF" w:rsidRPr="00C74F90" w14:paraId="54C6AB84" w14:textId="77777777" w:rsidTr="00722F0A">
        <w:tc>
          <w:tcPr>
            <w:tcW w:w="3969" w:type="dxa"/>
            <w:tcBorders>
              <w:right w:val="single" w:sz="4" w:space="0" w:color="auto"/>
            </w:tcBorders>
            <w:shd w:val="clear" w:color="auto" w:fill="auto"/>
          </w:tcPr>
          <w:p w14:paraId="19CCCFFD" w14:textId="77777777" w:rsidR="002975CF" w:rsidRPr="00C74F90" w:rsidRDefault="002975CF" w:rsidP="002975CF">
            <w:pPr>
              <w:rPr>
                <w:rFonts w:ascii="CorpoS" w:hAnsi="CorpoS"/>
                <w:sz w:val="22"/>
                <w:szCs w:val="22"/>
              </w:rPr>
            </w:pPr>
            <w:r>
              <w:rPr>
                <w:rFonts w:ascii="CorpoS" w:hAnsi="CorpoS"/>
                <w:sz w:val="22"/>
              </w:rPr>
              <w:t xml:space="preserve">          thereof military engine business</w:t>
            </w:r>
          </w:p>
        </w:tc>
        <w:tc>
          <w:tcPr>
            <w:tcW w:w="1134" w:type="dxa"/>
            <w:tcBorders>
              <w:left w:val="single" w:sz="4" w:space="0" w:color="auto"/>
              <w:right w:val="single" w:sz="4" w:space="0" w:color="auto"/>
            </w:tcBorders>
            <w:vAlign w:val="center"/>
          </w:tcPr>
          <w:p w14:paraId="6153DE2C" w14:textId="52835D86"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187</w:t>
            </w:r>
          </w:p>
        </w:tc>
        <w:tc>
          <w:tcPr>
            <w:tcW w:w="1134" w:type="dxa"/>
            <w:tcBorders>
              <w:left w:val="single" w:sz="4" w:space="0" w:color="auto"/>
              <w:right w:val="single" w:sz="18" w:space="0" w:color="auto"/>
            </w:tcBorders>
            <w:vAlign w:val="center"/>
          </w:tcPr>
          <w:p w14:paraId="697F1FD7" w14:textId="02E23D56"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172</w:t>
            </w:r>
          </w:p>
        </w:tc>
        <w:tc>
          <w:tcPr>
            <w:tcW w:w="1276" w:type="dxa"/>
            <w:tcBorders>
              <w:left w:val="single" w:sz="18" w:space="0" w:color="auto"/>
            </w:tcBorders>
            <w:shd w:val="clear" w:color="auto" w:fill="auto"/>
            <w:vAlign w:val="center"/>
          </w:tcPr>
          <w:p w14:paraId="4CF55D7C" w14:textId="5C4086A5"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483</w:t>
            </w:r>
          </w:p>
        </w:tc>
        <w:tc>
          <w:tcPr>
            <w:tcW w:w="1276" w:type="dxa"/>
            <w:shd w:val="clear" w:color="auto" w:fill="auto"/>
            <w:vAlign w:val="center"/>
          </w:tcPr>
          <w:p w14:paraId="7C104AD7" w14:textId="1AB57F3D"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482</w:t>
            </w:r>
          </w:p>
        </w:tc>
        <w:tc>
          <w:tcPr>
            <w:tcW w:w="1418" w:type="dxa"/>
            <w:tcBorders>
              <w:right w:val="single" w:sz="18" w:space="0" w:color="auto"/>
            </w:tcBorders>
            <w:shd w:val="clear" w:color="auto" w:fill="auto"/>
            <w:vAlign w:val="center"/>
          </w:tcPr>
          <w:p w14:paraId="1814106C" w14:textId="15067C6F"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–0%</w:t>
            </w:r>
          </w:p>
        </w:tc>
      </w:tr>
      <w:tr w:rsidR="002975CF" w:rsidRPr="00C74F90" w14:paraId="7A8227B7" w14:textId="77777777" w:rsidTr="00722F0A">
        <w:tc>
          <w:tcPr>
            <w:tcW w:w="3969" w:type="dxa"/>
            <w:tcBorders>
              <w:right w:val="single" w:sz="4" w:space="0" w:color="auto"/>
            </w:tcBorders>
            <w:shd w:val="clear" w:color="auto" w:fill="auto"/>
          </w:tcPr>
          <w:p w14:paraId="64AECE34" w14:textId="77777777" w:rsidR="002975CF" w:rsidRPr="00C74F90" w:rsidRDefault="002975CF" w:rsidP="002975CF">
            <w:pPr>
              <w:rPr>
                <w:rFonts w:ascii="CorpoS" w:hAnsi="CorpoS"/>
                <w:sz w:val="22"/>
                <w:szCs w:val="22"/>
              </w:rPr>
            </w:pPr>
            <w:r>
              <w:rPr>
                <w:rFonts w:ascii="CorpoS" w:hAnsi="CorpoS"/>
                <w:sz w:val="22"/>
              </w:rPr>
              <w:t xml:space="preserve">   thereof commercial maintenance</w:t>
            </w:r>
          </w:p>
        </w:tc>
        <w:tc>
          <w:tcPr>
            <w:tcW w:w="1134" w:type="dxa"/>
            <w:tcBorders>
              <w:left w:val="single" w:sz="4" w:space="0" w:color="auto"/>
              <w:right w:val="single" w:sz="4" w:space="0" w:color="auto"/>
            </w:tcBorders>
            <w:vAlign w:val="center"/>
          </w:tcPr>
          <w:p w14:paraId="21298645" w14:textId="0A4C4B16"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656</w:t>
            </w:r>
          </w:p>
        </w:tc>
        <w:tc>
          <w:tcPr>
            <w:tcW w:w="1134" w:type="dxa"/>
            <w:tcBorders>
              <w:left w:val="single" w:sz="4" w:space="0" w:color="auto"/>
              <w:right w:val="single" w:sz="18" w:space="0" w:color="auto"/>
            </w:tcBorders>
            <w:vAlign w:val="center"/>
          </w:tcPr>
          <w:p w14:paraId="5110D5B0" w14:textId="2ECC0ABB"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731</w:t>
            </w:r>
          </w:p>
        </w:tc>
        <w:tc>
          <w:tcPr>
            <w:tcW w:w="1276" w:type="dxa"/>
            <w:tcBorders>
              <w:left w:val="single" w:sz="18" w:space="0" w:color="auto"/>
            </w:tcBorders>
            <w:shd w:val="clear" w:color="auto" w:fill="auto"/>
            <w:vAlign w:val="center"/>
          </w:tcPr>
          <w:p w14:paraId="0DE2ABDD" w14:textId="41AEB25B"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w:t>
            </w:r>
            <w:r w:rsidR="002C7132">
              <w:rPr>
                <w:rFonts w:ascii="CorpoS" w:hAnsi="CorpoS"/>
                <w:sz w:val="22"/>
              </w:rPr>
              <w:t>,</w:t>
            </w:r>
            <w:r>
              <w:rPr>
                <w:rFonts w:ascii="CorpoS" w:hAnsi="CorpoS"/>
                <w:sz w:val="22"/>
              </w:rPr>
              <w:t>522</w:t>
            </w:r>
          </w:p>
        </w:tc>
        <w:tc>
          <w:tcPr>
            <w:tcW w:w="1276" w:type="dxa"/>
            <w:shd w:val="clear" w:color="auto" w:fill="auto"/>
            <w:vAlign w:val="center"/>
          </w:tcPr>
          <w:p w14:paraId="4BE7F87A" w14:textId="65FD29AB"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w:t>
            </w:r>
            <w:r w:rsidR="002C7132">
              <w:rPr>
                <w:rFonts w:ascii="CorpoS" w:hAnsi="CorpoS"/>
                <w:sz w:val="22"/>
              </w:rPr>
              <w:t>,</w:t>
            </w:r>
            <w:r>
              <w:rPr>
                <w:rFonts w:ascii="CorpoS" w:hAnsi="CorpoS"/>
                <w:sz w:val="22"/>
              </w:rPr>
              <w:t>741</w:t>
            </w:r>
          </w:p>
        </w:tc>
        <w:tc>
          <w:tcPr>
            <w:tcW w:w="1418" w:type="dxa"/>
            <w:tcBorders>
              <w:right w:val="single" w:sz="18" w:space="0" w:color="auto"/>
            </w:tcBorders>
            <w:shd w:val="clear" w:color="auto" w:fill="auto"/>
            <w:vAlign w:val="center"/>
          </w:tcPr>
          <w:p w14:paraId="1D344D32" w14:textId="34E062A0"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+9%</w:t>
            </w:r>
          </w:p>
        </w:tc>
      </w:tr>
      <w:tr w:rsidR="002975CF" w:rsidRPr="00C74F90" w14:paraId="076CEB02" w14:textId="77777777" w:rsidTr="00722F0A">
        <w:tc>
          <w:tcPr>
            <w:tcW w:w="3969" w:type="dxa"/>
            <w:tcBorders>
              <w:right w:val="single" w:sz="4" w:space="0" w:color="auto"/>
            </w:tcBorders>
            <w:shd w:val="clear" w:color="auto" w:fill="auto"/>
          </w:tcPr>
          <w:p w14:paraId="6E3A8C4B" w14:textId="77777777" w:rsidR="002975CF" w:rsidRPr="00C74F90" w:rsidRDefault="002975CF" w:rsidP="002975CF">
            <w:pPr>
              <w:rPr>
                <w:rFonts w:ascii="CorpoS" w:hAnsi="CorpoS"/>
                <w:sz w:val="22"/>
                <w:szCs w:val="22"/>
              </w:rPr>
            </w:pPr>
            <w:r>
              <w:rPr>
                <w:rFonts w:ascii="CorpoS" w:hAnsi="CorpoS"/>
                <w:sz w:val="22"/>
              </w:rPr>
              <w:t>Adjusted EBIT</w:t>
            </w:r>
          </w:p>
        </w:tc>
        <w:tc>
          <w:tcPr>
            <w:tcW w:w="1134" w:type="dxa"/>
            <w:tcBorders>
              <w:left w:val="single" w:sz="4" w:space="0" w:color="auto"/>
              <w:right w:val="single" w:sz="4" w:space="0" w:color="auto"/>
            </w:tcBorders>
            <w:vAlign w:val="center"/>
          </w:tcPr>
          <w:p w14:paraId="5724F9FA" w14:textId="611DE153"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105</w:t>
            </w:r>
          </w:p>
        </w:tc>
        <w:tc>
          <w:tcPr>
            <w:tcW w:w="1134" w:type="dxa"/>
            <w:tcBorders>
              <w:left w:val="single" w:sz="4" w:space="0" w:color="auto"/>
              <w:right w:val="single" w:sz="18" w:space="0" w:color="auto"/>
            </w:tcBorders>
            <w:vAlign w:val="center"/>
          </w:tcPr>
          <w:p w14:paraId="4096D8D7" w14:textId="661829EC"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161</w:t>
            </w:r>
          </w:p>
        </w:tc>
        <w:tc>
          <w:tcPr>
            <w:tcW w:w="1276" w:type="dxa"/>
            <w:tcBorders>
              <w:left w:val="single" w:sz="18" w:space="0" w:color="auto"/>
            </w:tcBorders>
            <w:shd w:val="clear" w:color="auto" w:fill="auto"/>
            <w:vAlign w:val="center"/>
          </w:tcPr>
          <w:p w14:paraId="760994F5" w14:textId="72EE196A"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416</w:t>
            </w:r>
          </w:p>
        </w:tc>
        <w:tc>
          <w:tcPr>
            <w:tcW w:w="1276" w:type="dxa"/>
            <w:shd w:val="clear" w:color="auto" w:fill="auto"/>
            <w:vAlign w:val="center"/>
          </w:tcPr>
          <w:p w14:paraId="68A46793" w14:textId="688DAA66"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468</w:t>
            </w:r>
          </w:p>
        </w:tc>
        <w:tc>
          <w:tcPr>
            <w:tcW w:w="1418" w:type="dxa"/>
            <w:tcBorders>
              <w:right w:val="single" w:sz="18" w:space="0" w:color="auto"/>
            </w:tcBorders>
            <w:shd w:val="clear" w:color="auto" w:fill="auto"/>
            <w:vAlign w:val="center"/>
          </w:tcPr>
          <w:p w14:paraId="062653E3" w14:textId="1F3465B9"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+13%</w:t>
            </w:r>
          </w:p>
        </w:tc>
      </w:tr>
      <w:tr w:rsidR="002975CF" w:rsidRPr="00C74F90" w14:paraId="659495BC" w14:textId="77777777" w:rsidTr="00722F0A">
        <w:tc>
          <w:tcPr>
            <w:tcW w:w="3969" w:type="dxa"/>
            <w:tcBorders>
              <w:right w:val="single" w:sz="4" w:space="0" w:color="auto"/>
            </w:tcBorders>
            <w:shd w:val="clear" w:color="auto" w:fill="auto"/>
          </w:tcPr>
          <w:p w14:paraId="78806066" w14:textId="77777777" w:rsidR="002975CF" w:rsidRPr="00C74F90" w:rsidRDefault="002975CF" w:rsidP="002975CF">
            <w:pPr>
              <w:rPr>
                <w:rFonts w:ascii="CorpoS" w:hAnsi="CorpoS"/>
                <w:sz w:val="22"/>
                <w:szCs w:val="22"/>
              </w:rPr>
            </w:pPr>
            <w:r>
              <w:rPr>
                <w:rFonts w:ascii="CorpoS" w:hAnsi="CorpoS"/>
                <w:sz w:val="22"/>
              </w:rPr>
              <w:t xml:space="preserve">   thereof OEM business</w:t>
            </w:r>
          </w:p>
        </w:tc>
        <w:tc>
          <w:tcPr>
            <w:tcW w:w="1134" w:type="dxa"/>
            <w:tcBorders>
              <w:left w:val="single" w:sz="4" w:space="0" w:color="auto"/>
              <w:right w:val="single" w:sz="4" w:space="0" w:color="auto"/>
            </w:tcBorders>
            <w:vAlign w:val="center"/>
          </w:tcPr>
          <w:p w14:paraId="6FFF1D7E" w14:textId="3C63EA2D"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85</w:t>
            </w:r>
          </w:p>
        </w:tc>
        <w:tc>
          <w:tcPr>
            <w:tcW w:w="1134" w:type="dxa"/>
            <w:tcBorders>
              <w:left w:val="single" w:sz="4" w:space="0" w:color="auto"/>
              <w:right w:val="single" w:sz="18" w:space="0" w:color="auto"/>
            </w:tcBorders>
            <w:vAlign w:val="center"/>
          </w:tcPr>
          <w:p w14:paraId="291B4F1B" w14:textId="1BEBCCA6"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118</w:t>
            </w:r>
          </w:p>
        </w:tc>
        <w:tc>
          <w:tcPr>
            <w:tcW w:w="1276" w:type="dxa"/>
            <w:tcBorders>
              <w:left w:val="single" w:sz="18" w:space="0" w:color="auto"/>
            </w:tcBorders>
            <w:shd w:val="clear" w:color="auto" w:fill="auto"/>
            <w:vAlign w:val="center"/>
          </w:tcPr>
          <w:p w14:paraId="17B67AAE" w14:textId="33C936E5"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280</w:t>
            </w:r>
          </w:p>
        </w:tc>
        <w:tc>
          <w:tcPr>
            <w:tcW w:w="1276" w:type="dxa"/>
            <w:shd w:val="clear" w:color="auto" w:fill="auto"/>
            <w:vAlign w:val="center"/>
          </w:tcPr>
          <w:p w14:paraId="4E8D1DB5" w14:textId="7A0A797B"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320</w:t>
            </w:r>
          </w:p>
        </w:tc>
        <w:tc>
          <w:tcPr>
            <w:tcW w:w="1418" w:type="dxa"/>
            <w:tcBorders>
              <w:right w:val="single" w:sz="18" w:space="0" w:color="auto"/>
            </w:tcBorders>
            <w:shd w:val="clear" w:color="auto" w:fill="auto"/>
            <w:vAlign w:val="center"/>
          </w:tcPr>
          <w:p w14:paraId="16B980F3" w14:textId="382F3CA1"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+14%</w:t>
            </w:r>
          </w:p>
        </w:tc>
      </w:tr>
      <w:tr w:rsidR="002975CF" w:rsidRPr="00C74F90" w14:paraId="75C26677" w14:textId="77777777" w:rsidTr="00722F0A">
        <w:tc>
          <w:tcPr>
            <w:tcW w:w="3969" w:type="dxa"/>
            <w:tcBorders>
              <w:right w:val="single" w:sz="4" w:space="0" w:color="auto"/>
            </w:tcBorders>
            <w:shd w:val="clear" w:color="auto" w:fill="auto"/>
          </w:tcPr>
          <w:p w14:paraId="104134A0" w14:textId="77777777" w:rsidR="002975CF" w:rsidRPr="00C74F90" w:rsidRDefault="002975CF" w:rsidP="002975CF">
            <w:pPr>
              <w:rPr>
                <w:rFonts w:ascii="CorpoS" w:hAnsi="CorpoS"/>
                <w:sz w:val="22"/>
                <w:szCs w:val="22"/>
              </w:rPr>
            </w:pPr>
            <w:r>
              <w:rPr>
                <w:rFonts w:ascii="CorpoS" w:hAnsi="CorpoS"/>
                <w:sz w:val="22"/>
              </w:rPr>
              <w:t xml:space="preserve">   thereof commercial maintenance</w:t>
            </w:r>
          </w:p>
        </w:tc>
        <w:tc>
          <w:tcPr>
            <w:tcW w:w="1134" w:type="dxa"/>
            <w:tcBorders>
              <w:left w:val="single" w:sz="4" w:space="0" w:color="auto"/>
              <w:right w:val="single" w:sz="4" w:space="0" w:color="auto"/>
            </w:tcBorders>
            <w:vAlign w:val="center"/>
          </w:tcPr>
          <w:p w14:paraId="308CA41C" w14:textId="447BB9A2"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20</w:t>
            </w:r>
          </w:p>
        </w:tc>
        <w:tc>
          <w:tcPr>
            <w:tcW w:w="1134" w:type="dxa"/>
            <w:tcBorders>
              <w:left w:val="single" w:sz="4" w:space="0" w:color="auto"/>
              <w:right w:val="single" w:sz="18" w:space="0" w:color="auto"/>
            </w:tcBorders>
            <w:vAlign w:val="center"/>
          </w:tcPr>
          <w:p w14:paraId="1E8092AD" w14:textId="20116279"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44</w:t>
            </w:r>
          </w:p>
        </w:tc>
        <w:tc>
          <w:tcPr>
            <w:tcW w:w="1276" w:type="dxa"/>
            <w:tcBorders>
              <w:left w:val="single" w:sz="18" w:space="0" w:color="auto"/>
            </w:tcBorders>
            <w:shd w:val="clear" w:color="auto" w:fill="auto"/>
            <w:vAlign w:val="center"/>
          </w:tcPr>
          <w:p w14:paraId="4587BBC8" w14:textId="1F047FA6"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136</w:t>
            </w:r>
          </w:p>
        </w:tc>
        <w:tc>
          <w:tcPr>
            <w:tcW w:w="1276" w:type="dxa"/>
            <w:shd w:val="clear" w:color="auto" w:fill="auto"/>
            <w:vAlign w:val="center"/>
          </w:tcPr>
          <w:p w14:paraId="033BC5B2" w14:textId="7A7D7659"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149</w:t>
            </w:r>
          </w:p>
        </w:tc>
        <w:tc>
          <w:tcPr>
            <w:tcW w:w="1418" w:type="dxa"/>
            <w:tcBorders>
              <w:right w:val="single" w:sz="18" w:space="0" w:color="auto"/>
            </w:tcBorders>
            <w:shd w:val="clear" w:color="auto" w:fill="auto"/>
            <w:vAlign w:val="center"/>
          </w:tcPr>
          <w:p w14:paraId="271BEF91" w14:textId="0735BED7"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+9%</w:t>
            </w:r>
          </w:p>
        </w:tc>
      </w:tr>
      <w:tr w:rsidR="002975CF" w:rsidRPr="00C74F90" w:rsidDel="0033104F" w14:paraId="2E41A4A3" w14:textId="77777777" w:rsidTr="00722F0A">
        <w:tc>
          <w:tcPr>
            <w:tcW w:w="3969" w:type="dxa"/>
            <w:tcBorders>
              <w:right w:val="single" w:sz="4" w:space="0" w:color="auto"/>
            </w:tcBorders>
            <w:shd w:val="clear" w:color="auto" w:fill="auto"/>
          </w:tcPr>
          <w:p w14:paraId="3DE1DD70" w14:textId="77777777" w:rsidR="002975CF" w:rsidRPr="00C74F90" w:rsidRDefault="002975CF" w:rsidP="002975CF">
            <w:pPr>
              <w:rPr>
                <w:rFonts w:ascii="CorpoS" w:hAnsi="CorpoS"/>
                <w:i/>
                <w:sz w:val="22"/>
                <w:szCs w:val="22"/>
              </w:rPr>
            </w:pPr>
            <w:r>
              <w:rPr>
                <w:rFonts w:ascii="CorpoS" w:hAnsi="CorpoS"/>
                <w:i/>
                <w:sz w:val="22"/>
              </w:rPr>
              <w:t>Adjusted EBIT margin</w:t>
            </w:r>
          </w:p>
        </w:tc>
        <w:tc>
          <w:tcPr>
            <w:tcW w:w="1134" w:type="dxa"/>
            <w:tcBorders>
              <w:left w:val="single" w:sz="4" w:space="0" w:color="auto"/>
              <w:right w:val="single" w:sz="4" w:space="0" w:color="auto"/>
            </w:tcBorders>
            <w:vAlign w:val="center"/>
          </w:tcPr>
          <w:p w14:paraId="1CF8F56B" w14:textId="33E6E31F"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10.3%</w:t>
            </w:r>
          </w:p>
        </w:tc>
        <w:tc>
          <w:tcPr>
            <w:tcW w:w="1134" w:type="dxa"/>
            <w:tcBorders>
              <w:left w:val="single" w:sz="4" w:space="0" w:color="auto"/>
              <w:right w:val="single" w:sz="18" w:space="0" w:color="auto"/>
            </w:tcBorders>
            <w:vAlign w:val="center"/>
          </w:tcPr>
          <w:p w14:paraId="15EBDAA6" w14:textId="63B2E460"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13.6%</w:t>
            </w:r>
          </w:p>
        </w:tc>
        <w:tc>
          <w:tcPr>
            <w:tcW w:w="1276" w:type="dxa"/>
            <w:tcBorders>
              <w:left w:val="single" w:sz="18" w:space="0" w:color="auto"/>
            </w:tcBorders>
            <w:shd w:val="clear" w:color="auto" w:fill="auto"/>
            <w:vAlign w:val="center"/>
          </w:tcPr>
          <w:p w14:paraId="142FBE71" w14:textId="556DD1FC"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10.5%</w:t>
            </w:r>
          </w:p>
        </w:tc>
        <w:tc>
          <w:tcPr>
            <w:tcW w:w="1276" w:type="dxa"/>
            <w:shd w:val="clear" w:color="auto" w:fill="auto"/>
            <w:vAlign w:val="center"/>
          </w:tcPr>
          <w:p w14:paraId="06A9A801" w14:textId="5AC49AD3"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11.2%</w:t>
            </w:r>
          </w:p>
        </w:tc>
        <w:tc>
          <w:tcPr>
            <w:tcW w:w="1418" w:type="dxa"/>
            <w:tcBorders>
              <w:right w:val="single" w:sz="18" w:space="0" w:color="auto"/>
            </w:tcBorders>
            <w:shd w:val="clear" w:color="auto" w:fill="auto"/>
            <w:vAlign w:val="center"/>
          </w:tcPr>
          <w:p w14:paraId="359EF59F" w14:textId="57D7AA9E"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 </w:t>
            </w:r>
          </w:p>
        </w:tc>
      </w:tr>
      <w:tr w:rsidR="002975CF" w:rsidRPr="00C74F90" w:rsidDel="0033104F" w14:paraId="3E9FE2EB" w14:textId="77777777" w:rsidTr="00722F0A">
        <w:tc>
          <w:tcPr>
            <w:tcW w:w="3969" w:type="dxa"/>
            <w:tcBorders>
              <w:right w:val="single" w:sz="4" w:space="0" w:color="auto"/>
            </w:tcBorders>
            <w:shd w:val="clear" w:color="auto" w:fill="auto"/>
          </w:tcPr>
          <w:p w14:paraId="2755CCD2" w14:textId="77777777" w:rsidR="002975CF" w:rsidRPr="00C74F90" w:rsidRDefault="002975CF" w:rsidP="002975CF">
            <w:pPr>
              <w:tabs>
                <w:tab w:val="left" w:pos="176"/>
              </w:tabs>
              <w:rPr>
                <w:rFonts w:ascii="CorpoS" w:hAnsi="CorpoS"/>
                <w:i/>
                <w:sz w:val="22"/>
                <w:szCs w:val="22"/>
              </w:rPr>
            </w:pPr>
            <w:r>
              <w:rPr>
                <w:rFonts w:ascii="CorpoS" w:hAnsi="CorpoS"/>
                <w:i/>
                <w:sz w:val="22"/>
              </w:rPr>
              <w:t xml:space="preserve">   in the OEM business</w:t>
            </w:r>
          </w:p>
        </w:tc>
        <w:tc>
          <w:tcPr>
            <w:tcW w:w="1134" w:type="dxa"/>
            <w:tcBorders>
              <w:left w:val="single" w:sz="4" w:space="0" w:color="auto"/>
              <w:right w:val="single" w:sz="4" w:space="0" w:color="auto"/>
            </w:tcBorders>
            <w:vAlign w:val="center"/>
          </w:tcPr>
          <w:p w14:paraId="219F5255" w14:textId="3BA3EBC3"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22.0%</w:t>
            </w:r>
          </w:p>
        </w:tc>
        <w:tc>
          <w:tcPr>
            <w:tcW w:w="1134" w:type="dxa"/>
            <w:tcBorders>
              <w:left w:val="single" w:sz="4" w:space="0" w:color="auto"/>
              <w:right w:val="single" w:sz="18" w:space="0" w:color="auto"/>
            </w:tcBorders>
            <w:vAlign w:val="center"/>
          </w:tcPr>
          <w:p w14:paraId="782649A3" w14:textId="60F01E20"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25.0%</w:t>
            </w:r>
          </w:p>
        </w:tc>
        <w:tc>
          <w:tcPr>
            <w:tcW w:w="1276" w:type="dxa"/>
            <w:tcBorders>
              <w:left w:val="single" w:sz="18" w:space="0" w:color="auto"/>
            </w:tcBorders>
            <w:shd w:val="clear" w:color="auto" w:fill="auto"/>
            <w:vAlign w:val="center"/>
          </w:tcPr>
          <w:p w14:paraId="6FE3EC58" w14:textId="711D9B78"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18.2%</w:t>
            </w:r>
          </w:p>
        </w:tc>
        <w:tc>
          <w:tcPr>
            <w:tcW w:w="1276" w:type="dxa"/>
            <w:shd w:val="clear" w:color="auto" w:fill="auto"/>
            <w:vAlign w:val="center"/>
          </w:tcPr>
          <w:p w14:paraId="15EEEF2C" w14:textId="43747582"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20.7%</w:t>
            </w:r>
          </w:p>
        </w:tc>
        <w:tc>
          <w:tcPr>
            <w:tcW w:w="1418" w:type="dxa"/>
            <w:tcBorders>
              <w:right w:val="single" w:sz="18" w:space="0" w:color="auto"/>
            </w:tcBorders>
            <w:shd w:val="clear" w:color="auto" w:fill="auto"/>
            <w:vAlign w:val="center"/>
          </w:tcPr>
          <w:p w14:paraId="0A5A2090" w14:textId="0A291A4C"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 </w:t>
            </w:r>
          </w:p>
        </w:tc>
      </w:tr>
      <w:tr w:rsidR="002975CF" w:rsidRPr="00C74F90" w:rsidDel="0033104F" w14:paraId="08E6EF2E" w14:textId="77777777" w:rsidTr="00722F0A">
        <w:tc>
          <w:tcPr>
            <w:tcW w:w="3969" w:type="dxa"/>
            <w:tcBorders>
              <w:right w:val="single" w:sz="4" w:space="0" w:color="auto"/>
            </w:tcBorders>
            <w:shd w:val="clear" w:color="auto" w:fill="auto"/>
          </w:tcPr>
          <w:p w14:paraId="16D12A77" w14:textId="77777777" w:rsidR="002975CF" w:rsidRPr="00C74F90" w:rsidRDefault="002975CF" w:rsidP="002975CF">
            <w:pPr>
              <w:rPr>
                <w:rFonts w:ascii="CorpoS" w:hAnsi="CorpoS"/>
                <w:i/>
                <w:sz w:val="22"/>
                <w:szCs w:val="22"/>
              </w:rPr>
            </w:pPr>
            <w:r>
              <w:rPr>
                <w:rFonts w:ascii="CorpoS" w:hAnsi="CorpoS"/>
                <w:i/>
                <w:sz w:val="22"/>
              </w:rPr>
              <w:t xml:space="preserve">   in commercial maintenance</w:t>
            </w:r>
          </w:p>
        </w:tc>
        <w:tc>
          <w:tcPr>
            <w:tcW w:w="1134" w:type="dxa"/>
            <w:tcBorders>
              <w:left w:val="single" w:sz="4" w:space="0" w:color="auto"/>
              <w:right w:val="single" w:sz="4" w:space="0" w:color="auto"/>
            </w:tcBorders>
            <w:vAlign w:val="center"/>
          </w:tcPr>
          <w:p w14:paraId="7156C994" w14:textId="1A9866F7"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3.1%</w:t>
            </w:r>
          </w:p>
        </w:tc>
        <w:tc>
          <w:tcPr>
            <w:tcW w:w="1134" w:type="dxa"/>
            <w:tcBorders>
              <w:left w:val="single" w:sz="4" w:space="0" w:color="auto"/>
              <w:right w:val="single" w:sz="18" w:space="0" w:color="auto"/>
            </w:tcBorders>
            <w:vAlign w:val="center"/>
          </w:tcPr>
          <w:p w14:paraId="2980355E" w14:textId="76C09700"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6.0%</w:t>
            </w:r>
          </w:p>
        </w:tc>
        <w:tc>
          <w:tcPr>
            <w:tcW w:w="1276" w:type="dxa"/>
            <w:tcBorders>
              <w:left w:val="single" w:sz="18" w:space="0" w:color="auto"/>
            </w:tcBorders>
            <w:shd w:val="clear" w:color="auto" w:fill="auto"/>
            <w:vAlign w:val="center"/>
          </w:tcPr>
          <w:p w14:paraId="368C21B4" w14:textId="17E22C27"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5.4%</w:t>
            </w:r>
          </w:p>
        </w:tc>
        <w:tc>
          <w:tcPr>
            <w:tcW w:w="1276" w:type="dxa"/>
            <w:shd w:val="clear" w:color="auto" w:fill="auto"/>
            <w:vAlign w:val="center"/>
          </w:tcPr>
          <w:p w14:paraId="38F5C5F7" w14:textId="65CCC26F"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5.4%</w:t>
            </w:r>
          </w:p>
        </w:tc>
        <w:tc>
          <w:tcPr>
            <w:tcW w:w="1418" w:type="dxa"/>
            <w:tcBorders>
              <w:right w:val="single" w:sz="18" w:space="0" w:color="auto"/>
            </w:tcBorders>
            <w:shd w:val="clear" w:color="auto" w:fill="auto"/>
            <w:vAlign w:val="center"/>
          </w:tcPr>
          <w:p w14:paraId="47B86AD3" w14:textId="44646E8A" w:rsidR="002975CF" w:rsidRPr="00B4335E" w:rsidRDefault="002975CF" w:rsidP="002975CF">
            <w:pPr>
              <w:ind w:firstLineChars="100" w:firstLine="220"/>
              <w:jc w:val="right"/>
              <w:rPr>
                <w:rFonts w:ascii="CorpoS" w:hAnsi="CorpoS" w:cs="Arial"/>
                <w:i/>
                <w:iCs/>
                <w:color w:val="FF0000"/>
                <w:sz w:val="22"/>
                <w:szCs w:val="22"/>
              </w:rPr>
            </w:pPr>
            <w:r>
              <w:rPr>
                <w:rFonts w:ascii="CorpoS" w:hAnsi="CorpoS"/>
                <w:i/>
                <w:sz w:val="22"/>
              </w:rPr>
              <w:t> </w:t>
            </w:r>
          </w:p>
        </w:tc>
      </w:tr>
      <w:tr w:rsidR="002975CF" w:rsidRPr="00C74F90" w14:paraId="02F09C5B" w14:textId="77777777" w:rsidTr="00722F0A">
        <w:tc>
          <w:tcPr>
            <w:tcW w:w="3969" w:type="dxa"/>
            <w:tcBorders>
              <w:right w:val="single" w:sz="4" w:space="0" w:color="auto"/>
            </w:tcBorders>
            <w:shd w:val="clear" w:color="auto" w:fill="auto"/>
          </w:tcPr>
          <w:p w14:paraId="1E7278FA" w14:textId="77777777" w:rsidR="002975CF" w:rsidRPr="00C74F90" w:rsidRDefault="002975CF" w:rsidP="002975CF">
            <w:pPr>
              <w:rPr>
                <w:rFonts w:ascii="CorpoS" w:hAnsi="CorpoS"/>
                <w:sz w:val="22"/>
                <w:szCs w:val="22"/>
              </w:rPr>
            </w:pPr>
            <w:r>
              <w:rPr>
                <w:rFonts w:ascii="CorpoS" w:hAnsi="CorpoS"/>
                <w:sz w:val="22"/>
              </w:rPr>
              <w:t>Adjusted net income</w:t>
            </w:r>
          </w:p>
        </w:tc>
        <w:tc>
          <w:tcPr>
            <w:tcW w:w="1134" w:type="dxa"/>
            <w:tcBorders>
              <w:left w:val="single" w:sz="4" w:space="0" w:color="auto"/>
              <w:right w:val="single" w:sz="4" w:space="0" w:color="auto"/>
            </w:tcBorders>
            <w:vAlign w:val="center"/>
          </w:tcPr>
          <w:p w14:paraId="2897CA51" w14:textId="3523B0B7"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75</w:t>
            </w:r>
          </w:p>
        </w:tc>
        <w:tc>
          <w:tcPr>
            <w:tcW w:w="1134" w:type="dxa"/>
            <w:tcBorders>
              <w:left w:val="single" w:sz="4" w:space="0" w:color="auto"/>
              <w:right w:val="single" w:sz="18" w:space="0" w:color="auto"/>
            </w:tcBorders>
            <w:vAlign w:val="center"/>
          </w:tcPr>
          <w:p w14:paraId="62394171" w14:textId="5198A18D"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122</w:t>
            </w:r>
          </w:p>
        </w:tc>
        <w:tc>
          <w:tcPr>
            <w:tcW w:w="1276" w:type="dxa"/>
            <w:tcBorders>
              <w:left w:val="single" w:sz="18" w:space="0" w:color="auto"/>
            </w:tcBorders>
            <w:shd w:val="clear" w:color="auto" w:fill="auto"/>
            <w:vAlign w:val="center"/>
          </w:tcPr>
          <w:p w14:paraId="499078D9" w14:textId="57CE69E8"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294</w:t>
            </w:r>
          </w:p>
        </w:tc>
        <w:tc>
          <w:tcPr>
            <w:tcW w:w="1276" w:type="dxa"/>
            <w:shd w:val="clear" w:color="auto" w:fill="auto"/>
            <w:vAlign w:val="center"/>
          </w:tcPr>
          <w:p w14:paraId="4678ECC8" w14:textId="3B97A935"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342</w:t>
            </w:r>
          </w:p>
        </w:tc>
        <w:tc>
          <w:tcPr>
            <w:tcW w:w="1418" w:type="dxa"/>
            <w:tcBorders>
              <w:right w:val="single" w:sz="18" w:space="0" w:color="auto"/>
            </w:tcBorders>
            <w:shd w:val="clear" w:color="auto" w:fill="auto"/>
            <w:vAlign w:val="center"/>
          </w:tcPr>
          <w:p w14:paraId="2820873B" w14:textId="7B4BFDBA"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+16%</w:t>
            </w:r>
          </w:p>
        </w:tc>
      </w:tr>
      <w:tr w:rsidR="002975CF" w:rsidRPr="00C74F90" w14:paraId="4595BE30" w14:textId="77777777" w:rsidTr="00722F0A">
        <w:tc>
          <w:tcPr>
            <w:tcW w:w="3969" w:type="dxa"/>
            <w:tcBorders>
              <w:right w:val="single" w:sz="4" w:space="0" w:color="auto"/>
            </w:tcBorders>
            <w:shd w:val="clear" w:color="auto" w:fill="auto"/>
          </w:tcPr>
          <w:p w14:paraId="63AB1231" w14:textId="77777777" w:rsidR="002975CF" w:rsidRPr="00C74F90" w:rsidRDefault="002975CF" w:rsidP="002975CF">
            <w:pPr>
              <w:rPr>
                <w:rFonts w:ascii="CorpoS" w:hAnsi="CorpoS"/>
                <w:sz w:val="22"/>
                <w:szCs w:val="22"/>
              </w:rPr>
            </w:pPr>
            <w:r>
              <w:rPr>
                <w:rFonts w:ascii="CorpoS" w:hAnsi="CorpoS"/>
                <w:sz w:val="22"/>
              </w:rPr>
              <w:t>Net income (reported)</w:t>
            </w:r>
          </w:p>
        </w:tc>
        <w:tc>
          <w:tcPr>
            <w:tcW w:w="1134" w:type="dxa"/>
            <w:tcBorders>
              <w:left w:val="single" w:sz="4" w:space="0" w:color="auto"/>
              <w:right w:val="single" w:sz="4" w:space="0" w:color="auto"/>
            </w:tcBorders>
            <w:vAlign w:val="center"/>
          </w:tcPr>
          <w:p w14:paraId="34E5D86A" w14:textId="62063C58"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6</w:t>
            </w:r>
          </w:p>
        </w:tc>
        <w:tc>
          <w:tcPr>
            <w:tcW w:w="1134" w:type="dxa"/>
            <w:tcBorders>
              <w:left w:val="single" w:sz="4" w:space="0" w:color="auto"/>
              <w:right w:val="single" w:sz="18" w:space="0" w:color="auto"/>
            </w:tcBorders>
            <w:vAlign w:val="center"/>
          </w:tcPr>
          <w:p w14:paraId="70AC3997" w14:textId="26AC71ED"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41</w:t>
            </w:r>
          </w:p>
        </w:tc>
        <w:tc>
          <w:tcPr>
            <w:tcW w:w="1276" w:type="dxa"/>
            <w:tcBorders>
              <w:left w:val="single" w:sz="18" w:space="0" w:color="auto"/>
            </w:tcBorders>
            <w:shd w:val="clear" w:color="auto" w:fill="auto"/>
            <w:vAlign w:val="center"/>
          </w:tcPr>
          <w:p w14:paraId="1A2A42F4" w14:textId="7F8C9621"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147</w:t>
            </w:r>
          </w:p>
        </w:tc>
        <w:tc>
          <w:tcPr>
            <w:tcW w:w="1276" w:type="dxa"/>
            <w:shd w:val="clear" w:color="auto" w:fill="auto"/>
            <w:vAlign w:val="center"/>
          </w:tcPr>
          <w:p w14:paraId="62575019" w14:textId="74EF962F"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231</w:t>
            </w:r>
          </w:p>
        </w:tc>
        <w:tc>
          <w:tcPr>
            <w:tcW w:w="1418" w:type="dxa"/>
            <w:tcBorders>
              <w:right w:val="single" w:sz="18" w:space="0" w:color="auto"/>
            </w:tcBorders>
            <w:shd w:val="clear" w:color="auto" w:fill="auto"/>
            <w:vAlign w:val="center"/>
          </w:tcPr>
          <w:p w14:paraId="4AA8B788" w14:textId="2D51CDDF"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+57%</w:t>
            </w:r>
          </w:p>
        </w:tc>
      </w:tr>
      <w:tr w:rsidR="002975CF" w:rsidRPr="00C74F90" w14:paraId="0D732B6D" w14:textId="77777777" w:rsidTr="00722F0A">
        <w:tc>
          <w:tcPr>
            <w:tcW w:w="3969" w:type="dxa"/>
            <w:tcBorders>
              <w:right w:val="single" w:sz="4" w:space="0" w:color="auto"/>
            </w:tcBorders>
            <w:shd w:val="clear" w:color="auto" w:fill="auto"/>
          </w:tcPr>
          <w:p w14:paraId="1CAE12DA" w14:textId="77777777" w:rsidR="002975CF" w:rsidRPr="00C74F90" w:rsidRDefault="002975CF" w:rsidP="002975CF">
            <w:pPr>
              <w:rPr>
                <w:rFonts w:ascii="CorpoS" w:hAnsi="CorpoS"/>
                <w:sz w:val="22"/>
                <w:szCs w:val="22"/>
              </w:rPr>
            </w:pPr>
            <w:r>
              <w:rPr>
                <w:rFonts w:ascii="CorpoS" w:hAnsi="CorpoS"/>
                <w:sz w:val="22"/>
              </w:rPr>
              <w:t>Earnings per share (basic, reported)</w:t>
            </w:r>
          </w:p>
        </w:tc>
        <w:tc>
          <w:tcPr>
            <w:tcW w:w="1134" w:type="dxa"/>
            <w:tcBorders>
              <w:left w:val="single" w:sz="4" w:space="0" w:color="auto"/>
              <w:right w:val="single" w:sz="4" w:space="0" w:color="auto"/>
            </w:tcBorders>
            <w:vAlign w:val="center"/>
          </w:tcPr>
          <w:p w14:paraId="5D15FFBF" w14:textId="1FE789F9" w:rsidR="002975CF" w:rsidRPr="00B4335E" w:rsidRDefault="002975CF" w:rsidP="002975CF">
            <w:pPr>
              <w:ind w:firstLineChars="100" w:firstLine="220"/>
              <w:jc w:val="right"/>
              <w:rPr>
                <w:rFonts w:ascii="CorpoS" w:hAnsi="CorpoS" w:cs="Arial"/>
                <w:color w:val="FF0000"/>
                <w:sz w:val="22"/>
                <w:szCs w:val="22"/>
              </w:rPr>
            </w:pPr>
            <w:r>
              <w:rPr>
                <w:rFonts w:ascii="CorpoS" w:hAnsi="CorpoS"/>
                <w:color w:val="000000"/>
                <w:sz w:val="22"/>
              </w:rPr>
              <w:t>0.05</w:t>
            </w:r>
          </w:p>
        </w:tc>
        <w:tc>
          <w:tcPr>
            <w:tcW w:w="1134" w:type="dxa"/>
            <w:tcBorders>
              <w:left w:val="single" w:sz="4" w:space="0" w:color="auto"/>
              <w:right w:val="single" w:sz="18" w:space="0" w:color="auto"/>
            </w:tcBorders>
            <w:vAlign w:val="center"/>
          </w:tcPr>
          <w:p w14:paraId="30013853" w14:textId="1F18EF57" w:rsidR="002975CF" w:rsidRPr="00B4335E" w:rsidRDefault="002975CF" w:rsidP="002975CF">
            <w:pPr>
              <w:ind w:firstLineChars="100" w:firstLine="220"/>
              <w:jc w:val="right"/>
              <w:rPr>
                <w:rFonts w:ascii="CorpoS" w:hAnsi="CorpoS" w:cs="Arial"/>
                <w:color w:val="FF0000"/>
                <w:sz w:val="22"/>
                <w:szCs w:val="22"/>
              </w:rPr>
            </w:pPr>
            <w:r>
              <w:rPr>
                <w:rFonts w:ascii="CorpoS" w:hAnsi="CorpoS"/>
                <w:color w:val="000000"/>
                <w:sz w:val="22"/>
              </w:rPr>
              <w:t>0.67</w:t>
            </w:r>
          </w:p>
        </w:tc>
        <w:tc>
          <w:tcPr>
            <w:tcW w:w="1276" w:type="dxa"/>
            <w:tcBorders>
              <w:left w:val="single" w:sz="18" w:space="0" w:color="auto"/>
            </w:tcBorders>
            <w:shd w:val="clear" w:color="auto" w:fill="auto"/>
            <w:vAlign w:val="center"/>
          </w:tcPr>
          <w:p w14:paraId="39DA9E3F" w14:textId="26C1714F" w:rsidR="002975CF" w:rsidRPr="00B4335E" w:rsidRDefault="002975CF" w:rsidP="002975CF">
            <w:pPr>
              <w:ind w:firstLineChars="100" w:firstLine="220"/>
              <w:jc w:val="right"/>
              <w:rPr>
                <w:rFonts w:ascii="CorpoS" w:hAnsi="CorpoS" w:cs="Arial"/>
                <w:color w:val="FF0000"/>
                <w:sz w:val="22"/>
                <w:szCs w:val="22"/>
              </w:rPr>
            </w:pPr>
            <w:r>
              <w:rPr>
                <w:rFonts w:ascii="CorpoS" w:hAnsi="CorpoS"/>
                <w:color w:val="000000"/>
                <w:sz w:val="22"/>
              </w:rPr>
              <w:t>2.63</w:t>
            </w:r>
          </w:p>
        </w:tc>
        <w:tc>
          <w:tcPr>
            <w:tcW w:w="1276" w:type="dxa"/>
            <w:shd w:val="clear" w:color="auto" w:fill="auto"/>
            <w:vAlign w:val="center"/>
          </w:tcPr>
          <w:p w14:paraId="12F5A56A" w14:textId="27BF48E1" w:rsidR="002975CF" w:rsidRPr="00B4335E" w:rsidRDefault="002975CF" w:rsidP="002975CF">
            <w:pPr>
              <w:ind w:firstLineChars="100" w:firstLine="220"/>
              <w:jc w:val="right"/>
              <w:rPr>
                <w:rFonts w:ascii="CorpoS" w:hAnsi="CorpoS" w:cs="Arial"/>
                <w:color w:val="FF0000"/>
                <w:sz w:val="22"/>
                <w:szCs w:val="22"/>
              </w:rPr>
            </w:pPr>
            <w:r>
              <w:rPr>
                <w:rFonts w:ascii="CorpoS" w:hAnsi="CorpoS"/>
                <w:color w:val="000000"/>
                <w:sz w:val="22"/>
              </w:rPr>
              <w:t>4.17</w:t>
            </w:r>
          </w:p>
        </w:tc>
        <w:tc>
          <w:tcPr>
            <w:tcW w:w="1418" w:type="dxa"/>
            <w:tcBorders>
              <w:right w:val="single" w:sz="18" w:space="0" w:color="auto"/>
            </w:tcBorders>
            <w:shd w:val="clear" w:color="auto" w:fill="auto"/>
            <w:vAlign w:val="center"/>
          </w:tcPr>
          <w:p w14:paraId="74D794C4" w14:textId="36539CE2" w:rsidR="002975CF" w:rsidRPr="00B4335E" w:rsidRDefault="002975CF" w:rsidP="002975CF">
            <w:pPr>
              <w:ind w:firstLineChars="100" w:firstLine="220"/>
              <w:jc w:val="right"/>
              <w:rPr>
                <w:rFonts w:ascii="CorpoS" w:hAnsi="CorpoS" w:cs="Arial"/>
                <w:color w:val="FF0000"/>
                <w:sz w:val="22"/>
                <w:szCs w:val="22"/>
              </w:rPr>
            </w:pPr>
            <w:r>
              <w:rPr>
                <w:rFonts w:ascii="CorpoS" w:hAnsi="CorpoS"/>
                <w:color w:val="000000"/>
                <w:sz w:val="22"/>
              </w:rPr>
              <w:t>+59%</w:t>
            </w:r>
          </w:p>
        </w:tc>
      </w:tr>
      <w:tr w:rsidR="002975CF" w:rsidRPr="00C74F90" w14:paraId="31524439" w14:textId="77777777" w:rsidTr="00722F0A">
        <w:tc>
          <w:tcPr>
            <w:tcW w:w="3969" w:type="dxa"/>
            <w:tcBorders>
              <w:right w:val="single" w:sz="4" w:space="0" w:color="auto"/>
            </w:tcBorders>
            <w:shd w:val="clear" w:color="auto" w:fill="auto"/>
          </w:tcPr>
          <w:p w14:paraId="1655B0C5" w14:textId="77777777" w:rsidR="002975CF" w:rsidRPr="00C74F90" w:rsidRDefault="002975CF" w:rsidP="002975CF">
            <w:pPr>
              <w:rPr>
                <w:rFonts w:ascii="CorpoS" w:hAnsi="CorpoS"/>
                <w:sz w:val="22"/>
                <w:szCs w:val="22"/>
              </w:rPr>
            </w:pPr>
            <w:r>
              <w:rPr>
                <w:rFonts w:ascii="CorpoS" w:hAnsi="CorpoS"/>
                <w:sz w:val="22"/>
              </w:rPr>
              <w:t>Free cash flow</w:t>
            </w:r>
          </w:p>
        </w:tc>
        <w:tc>
          <w:tcPr>
            <w:tcW w:w="1134" w:type="dxa"/>
            <w:tcBorders>
              <w:left w:val="single" w:sz="4" w:space="0" w:color="auto"/>
              <w:right w:val="single" w:sz="4" w:space="0" w:color="auto"/>
            </w:tcBorders>
            <w:vAlign w:val="center"/>
          </w:tcPr>
          <w:p w14:paraId="706B2392" w14:textId="6BF6AAD9"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–41</w:t>
            </w:r>
          </w:p>
        </w:tc>
        <w:tc>
          <w:tcPr>
            <w:tcW w:w="1134" w:type="dxa"/>
            <w:tcBorders>
              <w:left w:val="single" w:sz="4" w:space="0" w:color="auto"/>
              <w:right w:val="single" w:sz="18" w:space="0" w:color="auto"/>
            </w:tcBorders>
            <w:vAlign w:val="center"/>
          </w:tcPr>
          <w:p w14:paraId="5940861C" w14:textId="6ECE60B1"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35</w:t>
            </w:r>
          </w:p>
        </w:tc>
        <w:tc>
          <w:tcPr>
            <w:tcW w:w="1276" w:type="dxa"/>
            <w:tcBorders>
              <w:left w:val="single" w:sz="18" w:space="0" w:color="auto"/>
            </w:tcBorders>
            <w:shd w:val="clear" w:color="auto" w:fill="auto"/>
            <w:vAlign w:val="center"/>
          </w:tcPr>
          <w:p w14:paraId="1B65B392" w14:textId="234BF4F8"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105</w:t>
            </w:r>
          </w:p>
        </w:tc>
        <w:tc>
          <w:tcPr>
            <w:tcW w:w="1276" w:type="dxa"/>
            <w:shd w:val="clear" w:color="auto" w:fill="auto"/>
            <w:vAlign w:val="center"/>
          </w:tcPr>
          <w:p w14:paraId="27A6A1E3" w14:textId="3941CACC"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240</w:t>
            </w:r>
          </w:p>
        </w:tc>
        <w:tc>
          <w:tcPr>
            <w:tcW w:w="1418" w:type="dxa"/>
            <w:tcBorders>
              <w:right w:val="single" w:sz="18" w:space="0" w:color="auto"/>
            </w:tcBorders>
            <w:shd w:val="clear" w:color="auto" w:fill="auto"/>
            <w:vAlign w:val="center"/>
          </w:tcPr>
          <w:p w14:paraId="3E9D3DA2" w14:textId="40B65EC5"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+130%</w:t>
            </w:r>
          </w:p>
        </w:tc>
      </w:tr>
      <w:tr w:rsidR="002975CF" w:rsidRPr="00C74F90" w14:paraId="1475888B" w14:textId="77777777" w:rsidTr="00722F0A">
        <w:tc>
          <w:tcPr>
            <w:tcW w:w="3969" w:type="dxa"/>
            <w:tcBorders>
              <w:right w:val="single" w:sz="4" w:space="0" w:color="auto"/>
            </w:tcBorders>
            <w:shd w:val="clear" w:color="auto" w:fill="auto"/>
          </w:tcPr>
          <w:p w14:paraId="3C10066A" w14:textId="77777777" w:rsidR="002975CF" w:rsidRPr="00C74F90" w:rsidRDefault="002975CF" w:rsidP="002975CF">
            <w:pPr>
              <w:rPr>
                <w:rFonts w:ascii="CorpoS" w:hAnsi="CorpoS"/>
                <w:sz w:val="22"/>
                <w:szCs w:val="22"/>
              </w:rPr>
            </w:pPr>
            <w:r>
              <w:rPr>
                <w:rFonts w:ascii="CorpoS" w:hAnsi="CorpoS"/>
                <w:sz w:val="22"/>
              </w:rPr>
              <w:t>Research and development expenses</w:t>
            </w:r>
          </w:p>
        </w:tc>
        <w:tc>
          <w:tcPr>
            <w:tcW w:w="1134" w:type="dxa"/>
            <w:tcBorders>
              <w:left w:val="single" w:sz="4" w:space="0" w:color="auto"/>
              <w:right w:val="single" w:sz="4" w:space="0" w:color="auto"/>
            </w:tcBorders>
            <w:vAlign w:val="center"/>
          </w:tcPr>
          <w:p w14:paraId="4DD2E3D4" w14:textId="511B8DB3"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46</w:t>
            </w:r>
          </w:p>
        </w:tc>
        <w:tc>
          <w:tcPr>
            <w:tcW w:w="1134" w:type="dxa"/>
            <w:tcBorders>
              <w:left w:val="single" w:sz="4" w:space="0" w:color="auto"/>
              <w:right w:val="single" w:sz="18" w:space="0" w:color="auto"/>
            </w:tcBorders>
            <w:vAlign w:val="center"/>
          </w:tcPr>
          <w:p w14:paraId="2E7B1542" w14:textId="14EB868C"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68</w:t>
            </w:r>
          </w:p>
        </w:tc>
        <w:tc>
          <w:tcPr>
            <w:tcW w:w="1276" w:type="dxa"/>
            <w:tcBorders>
              <w:left w:val="single" w:sz="18" w:space="0" w:color="auto"/>
            </w:tcBorders>
            <w:shd w:val="clear" w:color="auto" w:fill="auto"/>
            <w:vAlign w:val="center"/>
          </w:tcPr>
          <w:p w14:paraId="42EB4544" w14:textId="00520F9E"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186</w:t>
            </w:r>
          </w:p>
        </w:tc>
        <w:tc>
          <w:tcPr>
            <w:tcW w:w="1276" w:type="dxa"/>
            <w:shd w:val="clear" w:color="auto" w:fill="auto"/>
            <w:vAlign w:val="center"/>
          </w:tcPr>
          <w:p w14:paraId="56CD15B2" w14:textId="645F8776"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230</w:t>
            </w:r>
          </w:p>
        </w:tc>
        <w:tc>
          <w:tcPr>
            <w:tcW w:w="1418" w:type="dxa"/>
            <w:tcBorders>
              <w:right w:val="single" w:sz="18" w:space="0" w:color="auto"/>
            </w:tcBorders>
            <w:shd w:val="clear" w:color="auto" w:fill="auto"/>
            <w:vAlign w:val="center"/>
          </w:tcPr>
          <w:p w14:paraId="14C63F42" w14:textId="2F5E8F26"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+24%</w:t>
            </w:r>
          </w:p>
        </w:tc>
      </w:tr>
      <w:tr w:rsidR="002975CF" w:rsidRPr="00C74F90" w14:paraId="3C80D9D6" w14:textId="77777777" w:rsidTr="00722F0A">
        <w:tc>
          <w:tcPr>
            <w:tcW w:w="3969" w:type="dxa"/>
            <w:tcBorders>
              <w:right w:val="single" w:sz="4" w:space="0" w:color="auto"/>
            </w:tcBorders>
            <w:shd w:val="clear" w:color="auto" w:fill="auto"/>
          </w:tcPr>
          <w:p w14:paraId="7C03ED7F" w14:textId="77777777" w:rsidR="002975CF" w:rsidRPr="00C74F90" w:rsidRDefault="002975CF" w:rsidP="002975CF">
            <w:pPr>
              <w:rPr>
                <w:rFonts w:ascii="CorpoS" w:hAnsi="CorpoS"/>
                <w:sz w:val="22"/>
                <w:szCs w:val="22"/>
              </w:rPr>
            </w:pPr>
            <w:r>
              <w:rPr>
                <w:rFonts w:ascii="CorpoS" w:hAnsi="CorpoS"/>
                <w:sz w:val="22"/>
              </w:rPr>
              <w:t xml:space="preserve">   thereof company-funded</w:t>
            </w:r>
          </w:p>
        </w:tc>
        <w:tc>
          <w:tcPr>
            <w:tcW w:w="1134" w:type="dxa"/>
            <w:tcBorders>
              <w:left w:val="single" w:sz="4" w:space="0" w:color="auto"/>
              <w:right w:val="single" w:sz="4" w:space="0" w:color="auto"/>
            </w:tcBorders>
            <w:vAlign w:val="center"/>
          </w:tcPr>
          <w:p w14:paraId="3DBB1966" w14:textId="40FE0A27"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35</w:t>
            </w:r>
          </w:p>
        </w:tc>
        <w:tc>
          <w:tcPr>
            <w:tcW w:w="1134" w:type="dxa"/>
            <w:tcBorders>
              <w:left w:val="single" w:sz="4" w:space="0" w:color="auto"/>
              <w:right w:val="single" w:sz="18" w:space="0" w:color="auto"/>
            </w:tcBorders>
            <w:vAlign w:val="center"/>
          </w:tcPr>
          <w:p w14:paraId="4DCA260F" w14:textId="42945CF8"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44</w:t>
            </w:r>
          </w:p>
        </w:tc>
        <w:tc>
          <w:tcPr>
            <w:tcW w:w="1276" w:type="dxa"/>
            <w:tcBorders>
              <w:left w:val="single" w:sz="18" w:space="0" w:color="auto"/>
            </w:tcBorders>
            <w:shd w:val="clear" w:color="auto" w:fill="auto"/>
            <w:vAlign w:val="center"/>
          </w:tcPr>
          <w:p w14:paraId="5F22FCA4" w14:textId="0DDAFC71"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153</w:t>
            </w:r>
          </w:p>
        </w:tc>
        <w:tc>
          <w:tcPr>
            <w:tcW w:w="1276" w:type="dxa"/>
            <w:shd w:val="clear" w:color="auto" w:fill="auto"/>
            <w:vAlign w:val="center"/>
          </w:tcPr>
          <w:p w14:paraId="5C430EB2" w14:textId="6F061F05"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160</w:t>
            </w:r>
          </w:p>
        </w:tc>
        <w:tc>
          <w:tcPr>
            <w:tcW w:w="1418" w:type="dxa"/>
            <w:tcBorders>
              <w:right w:val="single" w:sz="18" w:space="0" w:color="auto"/>
            </w:tcBorders>
            <w:shd w:val="clear" w:color="auto" w:fill="auto"/>
            <w:vAlign w:val="center"/>
          </w:tcPr>
          <w:p w14:paraId="1397AAD1" w14:textId="59A667A4"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+5%</w:t>
            </w:r>
          </w:p>
        </w:tc>
      </w:tr>
      <w:tr w:rsidR="002975CF" w:rsidRPr="00C74F90" w14:paraId="4FE2C6B3" w14:textId="77777777" w:rsidTr="00722F0A">
        <w:tc>
          <w:tcPr>
            <w:tcW w:w="3969" w:type="dxa"/>
            <w:tcBorders>
              <w:bottom w:val="single" w:sz="4" w:space="0" w:color="auto"/>
              <w:right w:val="single" w:sz="4" w:space="0" w:color="auto"/>
            </w:tcBorders>
            <w:shd w:val="clear" w:color="auto" w:fill="auto"/>
          </w:tcPr>
          <w:p w14:paraId="3631AC47" w14:textId="77777777" w:rsidR="002975CF" w:rsidRPr="00C74F90" w:rsidRDefault="002975CF" w:rsidP="002975CF">
            <w:pPr>
              <w:rPr>
                <w:rFonts w:ascii="CorpoS" w:hAnsi="CorpoS"/>
                <w:sz w:val="22"/>
                <w:szCs w:val="22"/>
              </w:rPr>
            </w:pPr>
            <w:r>
              <w:rPr>
                <w:rFonts w:ascii="CorpoS" w:hAnsi="CorpoS"/>
                <w:sz w:val="22"/>
              </w:rPr>
              <w:t xml:space="preserve">   thereof customer-funded</w:t>
            </w:r>
          </w:p>
        </w:tc>
        <w:tc>
          <w:tcPr>
            <w:tcW w:w="1134" w:type="dxa"/>
            <w:tcBorders>
              <w:left w:val="single" w:sz="4" w:space="0" w:color="auto"/>
              <w:bottom w:val="single" w:sz="4" w:space="0" w:color="auto"/>
              <w:right w:val="single" w:sz="4" w:space="0" w:color="auto"/>
            </w:tcBorders>
            <w:vAlign w:val="center"/>
          </w:tcPr>
          <w:p w14:paraId="2AAAE8DA" w14:textId="58339827"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12</w:t>
            </w:r>
          </w:p>
        </w:tc>
        <w:tc>
          <w:tcPr>
            <w:tcW w:w="1134" w:type="dxa"/>
            <w:tcBorders>
              <w:left w:val="single" w:sz="4" w:space="0" w:color="auto"/>
              <w:bottom w:val="single" w:sz="4" w:space="0" w:color="auto"/>
              <w:right w:val="single" w:sz="18" w:space="0" w:color="auto"/>
            </w:tcBorders>
            <w:vAlign w:val="center"/>
          </w:tcPr>
          <w:p w14:paraId="79B3AA7D" w14:textId="7B762CEC"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24</w:t>
            </w:r>
          </w:p>
        </w:tc>
        <w:tc>
          <w:tcPr>
            <w:tcW w:w="1276" w:type="dxa"/>
            <w:tcBorders>
              <w:left w:val="single" w:sz="18" w:space="0" w:color="auto"/>
              <w:bottom w:val="single" w:sz="4" w:space="0" w:color="auto"/>
            </w:tcBorders>
            <w:shd w:val="clear" w:color="auto" w:fill="auto"/>
            <w:vAlign w:val="center"/>
          </w:tcPr>
          <w:p w14:paraId="7CA07F8F" w14:textId="2991B80E"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33</w:t>
            </w:r>
          </w:p>
        </w:tc>
        <w:tc>
          <w:tcPr>
            <w:tcW w:w="1276" w:type="dxa"/>
            <w:tcBorders>
              <w:bottom w:val="single" w:sz="4" w:space="0" w:color="auto"/>
            </w:tcBorders>
            <w:shd w:val="clear" w:color="auto" w:fill="auto"/>
            <w:vAlign w:val="center"/>
          </w:tcPr>
          <w:p w14:paraId="344A7E6C" w14:textId="25E8CD80"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70</w:t>
            </w:r>
          </w:p>
        </w:tc>
        <w:tc>
          <w:tcPr>
            <w:tcW w:w="1418" w:type="dxa"/>
            <w:tcBorders>
              <w:bottom w:val="single" w:sz="4" w:space="0" w:color="auto"/>
              <w:right w:val="single" w:sz="18" w:space="0" w:color="auto"/>
            </w:tcBorders>
            <w:shd w:val="clear" w:color="auto" w:fill="auto"/>
            <w:vAlign w:val="center"/>
          </w:tcPr>
          <w:p w14:paraId="28E0B73F" w14:textId="5FE2D951"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+113%</w:t>
            </w:r>
          </w:p>
        </w:tc>
      </w:tr>
      <w:tr w:rsidR="002975CF" w:rsidRPr="00C74F90" w14:paraId="595D7389" w14:textId="77777777" w:rsidTr="00722F0A">
        <w:tc>
          <w:tcPr>
            <w:tcW w:w="3969" w:type="dxa"/>
            <w:tcBorders>
              <w:right w:val="single" w:sz="4" w:space="0" w:color="auto"/>
            </w:tcBorders>
            <w:shd w:val="clear" w:color="auto" w:fill="auto"/>
          </w:tcPr>
          <w:p w14:paraId="49EDA090" w14:textId="77777777" w:rsidR="002975CF" w:rsidRPr="00C74F90" w:rsidRDefault="002975CF" w:rsidP="002975CF">
            <w:pPr>
              <w:rPr>
                <w:rFonts w:ascii="CorpoS" w:hAnsi="CorpoS"/>
                <w:sz w:val="22"/>
                <w:szCs w:val="22"/>
              </w:rPr>
            </w:pPr>
            <w:r>
              <w:rPr>
                <w:rFonts w:ascii="CorpoS" w:hAnsi="CorpoS"/>
                <w:i/>
                <w:sz w:val="22"/>
              </w:rPr>
              <w:t>Company-funded R&amp;D expenses as stated in the income statement</w:t>
            </w:r>
          </w:p>
        </w:tc>
        <w:tc>
          <w:tcPr>
            <w:tcW w:w="1134" w:type="dxa"/>
            <w:tcBorders>
              <w:left w:val="single" w:sz="4" w:space="0" w:color="auto"/>
              <w:right w:val="single" w:sz="4" w:space="0" w:color="auto"/>
            </w:tcBorders>
            <w:vAlign w:val="center"/>
          </w:tcPr>
          <w:p w14:paraId="3C357E7E" w14:textId="2D2E0E6B" w:rsidR="002975CF" w:rsidRPr="00B4335E" w:rsidRDefault="002975CF" w:rsidP="002975CF">
            <w:pPr>
              <w:ind w:firstLineChars="100" w:firstLine="220"/>
              <w:jc w:val="right"/>
              <w:rPr>
                <w:rFonts w:ascii="CorpoS" w:hAnsi="CorpoS" w:cs="Arial"/>
                <w:color w:val="FF0000"/>
                <w:sz w:val="22"/>
                <w:szCs w:val="22"/>
              </w:rPr>
            </w:pPr>
            <w:r>
              <w:rPr>
                <w:rFonts w:ascii="CorpoS" w:hAnsi="CorpoS"/>
                <w:i/>
                <w:sz w:val="22"/>
              </w:rPr>
              <w:t>20</w:t>
            </w:r>
          </w:p>
        </w:tc>
        <w:tc>
          <w:tcPr>
            <w:tcW w:w="1134" w:type="dxa"/>
            <w:tcBorders>
              <w:left w:val="single" w:sz="4" w:space="0" w:color="auto"/>
              <w:right w:val="single" w:sz="18" w:space="0" w:color="auto"/>
            </w:tcBorders>
            <w:vAlign w:val="center"/>
          </w:tcPr>
          <w:p w14:paraId="6B427ADE" w14:textId="258F5F62" w:rsidR="002975CF" w:rsidRPr="00B4335E" w:rsidRDefault="002975CF" w:rsidP="002975CF">
            <w:pPr>
              <w:ind w:firstLineChars="100" w:firstLine="220"/>
              <w:jc w:val="right"/>
              <w:rPr>
                <w:rFonts w:ascii="CorpoS" w:hAnsi="CorpoS" w:cs="Arial"/>
                <w:color w:val="FF0000"/>
                <w:sz w:val="22"/>
                <w:szCs w:val="22"/>
              </w:rPr>
            </w:pPr>
            <w:r>
              <w:rPr>
                <w:rFonts w:ascii="CorpoS" w:hAnsi="CorpoS"/>
                <w:i/>
                <w:sz w:val="22"/>
              </w:rPr>
              <w:t>24</w:t>
            </w:r>
          </w:p>
        </w:tc>
        <w:tc>
          <w:tcPr>
            <w:tcW w:w="1276" w:type="dxa"/>
            <w:tcBorders>
              <w:left w:val="single" w:sz="18" w:space="0" w:color="auto"/>
              <w:bottom w:val="single" w:sz="4" w:space="0" w:color="auto"/>
            </w:tcBorders>
            <w:shd w:val="clear" w:color="auto" w:fill="auto"/>
            <w:vAlign w:val="center"/>
          </w:tcPr>
          <w:p w14:paraId="70708158" w14:textId="384DF622" w:rsidR="002975CF" w:rsidRPr="00B4335E" w:rsidRDefault="002975CF" w:rsidP="002975CF">
            <w:pPr>
              <w:ind w:firstLineChars="100" w:firstLine="220"/>
              <w:jc w:val="right"/>
              <w:rPr>
                <w:rFonts w:ascii="CorpoS" w:hAnsi="CorpoS" w:cs="Arial"/>
                <w:color w:val="FF0000"/>
                <w:sz w:val="22"/>
                <w:szCs w:val="22"/>
              </w:rPr>
            </w:pPr>
            <w:r>
              <w:rPr>
                <w:rFonts w:ascii="CorpoS" w:hAnsi="CorpoS"/>
                <w:i/>
                <w:sz w:val="22"/>
              </w:rPr>
              <w:t>61</w:t>
            </w:r>
          </w:p>
        </w:tc>
        <w:tc>
          <w:tcPr>
            <w:tcW w:w="1276" w:type="dxa"/>
            <w:tcBorders>
              <w:bottom w:val="single" w:sz="4" w:space="0" w:color="auto"/>
            </w:tcBorders>
            <w:shd w:val="clear" w:color="auto" w:fill="auto"/>
            <w:vAlign w:val="center"/>
          </w:tcPr>
          <w:p w14:paraId="271EFFFC" w14:textId="68423A81" w:rsidR="002975CF" w:rsidRPr="00B4335E" w:rsidRDefault="002975CF" w:rsidP="002975CF">
            <w:pPr>
              <w:ind w:firstLineChars="100" w:firstLine="220"/>
              <w:jc w:val="right"/>
              <w:rPr>
                <w:rFonts w:ascii="CorpoS" w:hAnsi="CorpoS" w:cs="Arial"/>
                <w:color w:val="FF0000"/>
                <w:sz w:val="22"/>
                <w:szCs w:val="22"/>
              </w:rPr>
            </w:pPr>
            <w:r>
              <w:rPr>
                <w:rFonts w:ascii="CorpoS" w:hAnsi="CorpoS"/>
                <w:i/>
                <w:sz w:val="22"/>
              </w:rPr>
              <w:t>83</w:t>
            </w:r>
          </w:p>
        </w:tc>
        <w:tc>
          <w:tcPr>
            <w:tcW w:w="1418" w:type="dxa"/>
            <w:tcBorders>
              <w:bottom w:val="single" w:sz="4" w:space="0" w:color="auto"/>
              <w:right w:val="single" w:sz="18" w:space="0" w:color="auto"/>
            </w:tcBorders>
            <w:shd w:val="clear" w:color="auto" w:fill="auto"/>
            <w:vAlign w:val="center"/>
          </w:tcPr>
          <w:p w14:paraId="6B4F397D" w14:textId="1CB7D0FE" w:rsidR="002975CF" w:rsidRPr="00B4335E" w:rsidRDefault="002975CF" w:rsidP="002975CF">
            <w:pPr>
              <w:ind w:firstLineChars="100" w:firstLine="220"/>
              <w:jc w:val="right"/>
              <w:rPr>
                <w:rFonts w:ascii="CorpoS" w:hAnsi="CorpoS" w:cs="Arial"/>
                <w:color w:val="FF0000"/>
                <w:sz w:val="22"/>
                <w:szCs w:val="22"/>
              </w:rPr>
            </w:pPr>
            <w:r>
              <w:rPr>
                <w:rFonts w:ascii="CorpoS" w:hAnsi="CorpoS"/>
                <w:i/>
                <w:sz w:val="22"/>
              </w:rPr>
              <w:t>+37%</w:t>
            </w:r>
          </w:p>
        </w:tc>
      </w:tr>
      <w:tr w:rsidR="002975CF" w:rsidRPr="00C74F90" w14:paraId="6AA96455" w14:textId="77777777" w:rsidTr="00722F0A">
        <w:tc>
          <w:tcPr>
            <w:tcW w:w="3969" w:type="dxa"/>
            <w:tcBorders>
              <w:right w:val="single" w:sz="4" w:space="0" w:color="auto"/>
            </w:tcBorders>
            <w:shd w:val="clear" w:color="auto" w:fill="auto"/>
          </w:tcPr>
          <w:p w14:paraId="712623CF" w14:textId="77777777" w:rsidR="002975CF" w:rsidRPr="00C74F90" w:rsidRDefault="002975CF" w:rsidP="002975CF">
            <w:pPr>
              <w:rPr>
                <w:rFonts w:ascii="CorpoS" w:hAnsi="CorpoS"/>
                <w:sz w:val="22"/>
                <w:szCs w:val="22"/>
              </w:rPr>
            </w:pPr>
            <w:r>
              <w:rPr>
                <w:rFonts w:ascii="CorpoS" w:hAnsi="CorpoS"/>
                <w:sz w:val="22"/>
              </w:rPr>
              <w:t>Net capital expenditure on property, plant and equipment</w:t>
            </w:r>
          </w:p>
        </w:tc>
        <w:tc>
          <w:tcPr>
            <w:tcW w:w="1134" w:type="dxa"/>
            <w:tcBorders>
              <w:left w:val="single" w:sz="4" w:space="0" w:color="auto"/>
              <w:right w:val="single" w:sz="4" w:space="0" w:color="auto"/>
            </w:tcBorders>
            <w:vAlign w:val="center"/>
          </w:tcPr>
          <w:p w14:paraId="5F38C29E" w14:textId="3F65FC8A"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86</w:t>
            </w:r>
          </w:p>
        </w:tc>
        <w:tc>
          <w:tcPr>
            <w:tcW w:w="1134" w:type="dxa"/>
            <w:tcBorders>
              <w:left w:val="single" w:sz="4" w:space="0" w:color="auto"/>
              <w:right w:val="single" w:sz="18" w:space="0" w:color="auto"/>
            </w:tcBorders>
            <w:vAlign w:val="center"/>
          </w:tcPr>
          <w:p w14:paraId="1F8F2282" w14:textId="032AAFEE"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125</w:t>
            </w:r>
          </w:p>
        </w:tc>
        <w:tc>
          <w:tcPr>
            <w:tcW w:w="1276" w:type="dxa"/>
            <w:tcBorders>
              <w:left w:val="single" w:sz="18" w:space="0" w:color="auto"/>
              <w:bottom w:val="single" w:sz="4" w:space="0" w:color="auto"/>
            </w:tcBorders>
            <w:shd w:val="clear" w:color="auto" w:fill="auto"/>
            <w:vAlign w:val="center"/>
          </w:tcPr>
          <w:p w14:paraId="512B9969" w14:textId="0B6E171F"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179</w:t>
            </w:r>
          </w:p>
        </w:tc>
        <w:tc>
          <w:tcPr>
            <w:tcW w:w="1276" w:type="dxa"/>
            <w:tcBorders>
              <w:bottom w:val="single" w:sz="4" w:space="0" w:color="auto"/>
            </w:tcBorders>
            <w:shd w:val="clear" w:color="auto" w:fill="auto"/>
            <w:vAlign w:val="center"/>
          </w:tcPr>
          <w:p w14:paraId="10A9363A" w14:textId="6BC0790A"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241</w:t>
            </w:r>
          </w:p>
        </w:tc>
        <w:tc>
          <w:tcPr>
            <w:tcW w:w="1418" w:type="dxa"/>
            <w:tcBorders>
              <w:bottom w:val="single" w:sz="4" w:space="0" w:color="auto"/>
              <w:right w:val="single" w:sz="18" w:space="0" w:color="auto"/>
            </w:tcBorders>
            <w:shd w:val="clear" w:color="auto" w:fill="auto"/>
            <w:vAlign w:val="center"/>
          </w:tcPr>
          <w:p w14:paraId="469203D2" w14:textId="52D96E93"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+35%</w:t>
            </w:r>
          </w:p>
        </w:tc>
      </w:tr>
      <w:tr w:rsidR="00C74F90" w:rsidRPr="00C74F90" w14:paraId="24BD0458" w14:textId="77777777" w:rsidTr="00722F0A">
        <w:trPr>
          <w:trHeight w:val="81"/>
        </w:trPr>
        <w:tc>
          <w:tcPr>
            <w:tcW w:w="6237" w:type="dxa"/>
            <w:gridSpan w:val="3"/>
            <w:tcBorders>
              <w:right w:val="single" w:sz="18" w:space="0" w:color="auto"/>
            </w:tcBorders>
            <w:shd w:val="clear" w:color="auto" w:fill="auto"/>
          </w:tcPr>
          <w:p w14:paraId="7F7AF0EF" w14:textId="77777777" w:rsidR="00112495" w:rsidRPr="00C74F90" w:rsidRDefault="00112495" w:rsidP="00722F0A">
            <w:pPr>
              <w:jc w:val="right"/>
              <w:rPr>
                <w:rFonts w:ascii="CorpoS" w:hAnsi="CorpoS"/>
                <w:b/>
                <w:sz w:val="8"/>
                <w:szCs w:val="8"/>
              </w:rPr>
            </w:pPr>
          </w:p>
        </w:tc>
        <w:tc>
          <w:tcPr>
            <w:tcW w:w="3970" w:type="dxa"/>
            <w:gridSpan w:val="3"/>
            <w:tcBorders>
              <w:left w:val="single" w:sz="18" w:space="0" w:color="auto"/>
              <w:bottom w:val="single" w:sz="4" w:space="0" w:color="auto"/>
              <w:right w:val="single" w:sz="18" w:space="0" w:color="auto"/>
            </w:tcBorders>
            <w:shd w:val="clear" w:color="auto" w:fill="auto"/>
          </w:tcPr>
          <w:p w14:paraId="2A79FBC8" w14:textId="77777777" w:rsidR="00112495" w:rsidRPr="00C74F90" w:rsidRDefault="00112495" w:rsidP="00722F0A">
            <w:pPr>
              <w:ind w:right="33"/>
              <w:jc w:val="right"/>
              <w:rPr>
                <w:rFonts w:ascii="CorpoS" w:hAnsi="CorpoS"/>
                <w:b/>
                <w:sz w:val="8"/>
                <w:szCs w:val="8"/>
              </w:rPr>
            </w:pPr>
          </w:p>
        </w:tc>
      </w:tr>
      <w:tr w:rsidR="00C74F90" w:rsidRPr="00C74F90" w14:paraId="60423705" w14:textId="77777777" w:rsidTr="00722F0A">
        <w:tc>
          <w:tcPr>
            <w:tcW w:w="3969" w:type="dxa"/>
            <w:tcBorders>
              <w:right w:val="single" w:sz="4" w:space="0" w:color="auto"/>
            </w:tcBorders>
            <w:shd w:val="clear" w:color="auto" w:fill="auto"/>
          </w:tcPr>
          <w:p w14:paraId="025C71E6" w14:textId="77777777" w:rsidR="00112495" w:rsidRPr="00C74F90" w:rsidRDefault="00112495" w:rsidP="00722F0A">
            <w:pPr>
              <w:rPr>
                <w:rFonts w:ascii="CorpoS" w:hAnsi="CorpoS"/>
                <w:sz w:val="22"/>
                <w:szCs w:val="22"/>
              </w:rPr>
            </w:pPr>
          </w:p>
        </w:tc>
        <w:tc>
          <w:tcPr>
            <w:tcW w:w="1134" w:type="dxa"/>
            <w:tcBorders>
              <w:left w:val="single" w:sz="4" w:space="0" w:color="auto"/>
              <w:right w:val="single" w:sz="4" w:space="0" w:color="auto"/>
            </w:tcBorders>
          </w:tcPr>
          <w:p w14:paraId="2F8A346F" w14:textId="77777777" w:rsidR="00112495" w:rsidRPr="00C74F90" w:rsidRDefault="00112495" w:rsidP="00722F0A">
            <w:pPr>
              <w:jc w:val="right"/>
              <w:rPr>
                <w:rFonts w:ascii="CorpoS" w:hAnsi="CorpoS"/>
                <w:b/>
                <w:sz w:val="22"/>
                <w:szCs w:val="22"/>
              </w:rPr>
            </w:pPr>
          </w:p>
        </w:tc>
        <w:tc>
          <w:tcPr>
            <w:tcW w:w="1134" w:type="dxa"/>
            <w:tcBorders>
              <w:left w:val="single" w:sz="4" w:space="0" w:color="auto"/>
              <w:right w:val="single" w:sz="18" w:space="0" w:color="auto"/>
            </w:tcBorders>
          </w:tcPr>
          <w:p w14:paraId="640A62C9" w14:textId="77777777" w:rsidR="00112495" w:rsidRPr="00C74F90" w:rsidRDefault="00112495" w:rsidP="00722F0A">
            <w:pPr>
              <w:jc w:val="right"/>
              <w:rPr>
                <w:rFonts w:ascii="CorpoS" w:hAnsi="CorpoS"/>
                <w:b/>
                <w:sz w:val="22"/>
                <w:szCs w:val="22"/>
              </w:rPr>
            </w:pPr>
          </w:p>
        </w:tc>
        <w:tc>
          <w:tcPr>
            <w:tcW w:w="1276" w:type="dxa"/>
            <w:tcBorders>
              <w:left w:val="single" w:sz="18" w:space="0" w:color="auto"/>
              <w:bottom w:val="single" w:sz="4" w:space="0" w:color="auto"/>
            </w:tcBorders>
            <w:shd w:val="clear" w:color="auto" w:fill="auto"/>
          </w:tcPr>
          <w:p w14:paraId="7D7CAF67" w14:textId="4CFDDC41" w:rsidR="00112495" w:rsidRPr="00C74F90" w:rsidRDefault="00112495" w:rsidP="00B4335E">
            <w:pPr>
              <w:jc w:val="right"/>
              <w:rPr>
                <w:rFonts w:ascii="CorpoS" w:hAnsi="CorpoS"/>
                <w:b/>
                <w:sz w:val="22"/>
                <w:szCs w:val="22"/>
              </w:rPr>
            </w:pPr>
            <w:r>
              <w:rPr>
                <w:rFonts w:ascii="CorpoS" w:hAnsi="CorpoS"/>
                <w:b/>
                <w:sz w:val="22"/>
              </w:rPr>
              <w:t>Dec. 31, 2020</w:t>
            </w:r>
          </w:p>
        </w:tc>
        <w:tc>
          <w:tcPr>
            <w:tcW w:w="1276" w:type="dxa"/>
            <w:tcBorders>
              <w:bottom w:val="single" w:sz="4" w:space="0" w:color="auto"/>
            </w:tcBorders>
            <w:shd w:val="clear" w:color="auto" w:fill="auto"/>
          </w:tcPr>
          <w:p w14:paraId="33620252" w14:textId="5101B939" w:rsidR="00112495" w:rsidRPr="00C74F90" w:rsidRDefault="00112495" w:rsidP="00B4335E">
            <w:pPr>
              <w:jc w:val="right"/>
              <w:rPr>
                <w:rFonts w:ascii="CorpoS" w:hAnsi="CorpoS"/>
                <w:b/>
                <w:sz w:val="22"/>
                <w:szCs w:val="22"/>
              </w:rPr>
            </w:pPr>
            <w:r>
              <w:rPr>
                <w:rFonts w:ascii="CorpoS" w:hAnsi="CorpoS"/>
                <w:b/>
                <w:sz w:val="22"/>
              </w:rPr>
              <w:t>Dec. 31, 2021</w:t>
            </w:r>
          </w:p>
        </w:tc>
        <w:tc>
          <w:tcPr>
            <w:tcW w:w="1418" w:type="dxa"/>
            <w:tcBorders>
              <w:bottom w:val="single" w:sz="4" w:space="0" w:color="auto"/>
              <w:right w:val="single" w:sz="18" w:space="0" w:color="auto"/>
            </w:tcBorders>
            <w:shd w:val="clear" w:color="auto" w:fill="auto"/>
          </w:tcPr>
          <w:p w14:paraId="51FFE006" w14:textId="77777777" w:rsidR="00112495" w:rsidRPr="00C74F90" w:rsidRDefault="00112495" w:rsidP="00722F0A">
            <w:pPr>
              <w:ind w:right="33"/>
              <w:rPr>
                <w:rFonts w:ascii="CorpoS" w:hAnsi="CorpoS"/>
                <w:b/>
                <w:sz w:val="22"/>
                <w:szCs w:val="22"/>
              </w:rPr>
            </w:pPr>
            <w:r>
              <w:rPr>
                <w:rFonts w:ascii="CorpoS" w:hAnsi="CorpoS"/>
                <w:b/>
                <w:sz w:val="22"/>
              </w:rPr>
              <w:t>Change</w:t>
            </w:r>
          </w:p>
        </w:tc>
      </w:tr>
      <w:tr w:rsidR="00C74F90" w:rsidRPr="00C74F90" w14:paraId="6C1D724D" w14:textId="77777777" w:rsidTr="00722F0A">
        <w:tc>
          <w:tcPr>
            <w:tcW w:w="3969" w:type="dxa"/>
            <w:tcBorders>
              <w:right w:val="single" w:sz="4" w:space="0" w:color="auto"/>
            </w:tcBorders>
            <w:shd w:val="clear" w:color="auto" w:fill="auto"/>
          </w:tcPr>
          <w:p w14:paraId="6745A9C8" w14:textId="667D54DE" w:rsidR="00112495" w:rsidRPr="00C74F90" w:rsidRDefault="00E57215" w:rsidP="00E57215">
            <w:pPr>
              <w:rPr>
                <w:rFonts w:ascii="CorpoS" w:hAnsi="CorpoS"/>
                <w:b/>
                <w:sz w:val="22"/>
                <w:szCs w:val="22"/>
              </w:rPr>
            </w:pPr>
            <w:r>
              <w:rPr>
                <w:rFonts w:ascii="CorpoS" w:hAnsi="CorpoS"/>
                <w:b/>
                <w:sz w:val="22"/>
              </w:rPr>
              <w:t>Ba</w:t>
            </w:r>
            <w:r w:rsidR="00112495">
              <w:rPr>
                <w:rFonts w:ascii="CorpoS" w:hAnsi="CorpoS"/>
                <w:b/>
                <w:sz w:val="22"/>
              </w:rPr>
              <w:t xml:space="preserve">lance sheet </w:t>
            </w:r>
            <w:r>
              <w:rPr>
                <w:rFonts w:ascii="CorpoS" w:hAnsi="CorpoS"/>
                <w:b/>
                <w:sz w:val="22"/>
              </w:rPr>
              <w:t>key figures</w:t>
            </w:r>
          </w:p>
        </w:tc>
        <w:tc>
          <w:tcPr>
            <w:tcW w:w="1134" w:type="dxa"/>
            <w:tcBorders>
              <w:left w:val="single" w:sz="4" w:space="0" w:color="auto"/>
              <w:right w:val="single" w:sz="4" w:space="0" w:color="auto"/>
            </w:tcBorders>
          </w:tcPr>
          <w:p w14:paraId="768F5E3B" w14:textId="77777777" w:rsidR="00112495" w:rsidRPr="00C74F90" w:rsidRDefault="00112495" w:rsidP="00722F0A">
            <w:pPr>
              <w:jc w:val="right"/>
              <w:rPr>
                <w:rFonts w:ascii="CorpoS" w:hAnsi="CorpoS"/>
                <w:sz w:val="22"/>
                <w:szCs w:val="22"/>
                <w:lang w:val="de-DE"/>
              </w:rPr>
            </w:pPr>
          </w:p>
        </w:tc>
        <w:tc>
          <w:tcPr>
            <w:tcW w:w="1134" w:type="dxa"/>
            <w:tcBorders>
              <w:left w:val="single" w:sz="4" w:space="0" w:color="auto"/>
              <w:right w:val="single" w:sz="18" w:space="0" w:color="auto"/>
            </w:tcBorders>
          </w:tcPr>
          <w:p w14:paraId="751EF1F2" w14:textId="77777777" w:rsidR="00112495" w:rsidRPr="00C74F90" w:rsidRDefault="00112495" w:rsidP="00722F0A">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tcPr>
          <w:p w14:paraId="3F34BC23" w14:textId="77777777" w:rsidR="00112495" w:rsidRPr="00C74F90" w:rsidRDefault="00112495" w:rsidP="00722F0A">
            <w:pPr>
              <w:jc w:val="right"/>
              <w:rPr>
                <w:rFonts w:ascii="CorpoS" w:hAnsi="CorpoS"/>
                <w:sz w:val="22"/>
                <w:szCs w:val="22"/>
                <w:lang w:val="de-DE"/>
              </w:rPr>
            </w:pPr>
          </w:p>
        </w:tc>
        <w:tc>
          <w:tcPr>
            <w:tcW w:w="1276" w:type="dxa"/>
            <w:tcBorders>
              <w:top w:val="single" w:sz="4" w:space="0" w:color="auto"/>
              <w:bottom w:val="single" w:sz="4" w:space="0" w:color="auto"/>
            </w:tcBorders>
            <w:shd w:val="clear" w:color="auto" w:fill="auto"/>
          </w:tcPr>
          <w:p w14:paraId="652261DB" w14:textId="77777777" w:rsidR="00112495" w:rsidRPr="00C74F90" w:rsidRDefault="00112495" w:rsidP="00722F0A">
            <w:pPr>
              <w:jc w:val="right"/>
              <w:rPr>
                <w:rFonts w:ascii="CorpoS" w:hAnsi="CorpoS"/>
                <w:sz w:val="22"/>
                <w:szCs w:val="22"/>
                <w:lang w:val="de-DE"/>
              </w:rPr>
            </w:pPr>
          </w:p>
        </w:tc>
        <w:tc>
          <w:tcPr>
            <w:tcW w:w="1418" w:type="dxa"/>
            <w:tcBorders>
              <w:top w:val="single" w:sz="4" w:space="0" w:color="auto"/>
              <w:bottom w:val="single" w:sz="4" w:space="0" w:color="auto"/>
              <w:right w:val="single" w:sz="18" w:space="0" w:color="auto"/>
            </w:tcBorders>
            <w:shd w:val="clear" w:color="auto" w:fill="auto"/>
          </w:tcPr>
          <w:p w14:paraId="7310F1E9" w14:textId="77777777" w:rsidR="00112495" w:rsidRPr="00C74F90" w:rsidRDefault="00112495" w:rsidP="00722F0A">
            <w:pPr>
              <w:ind w:right="33"/>
              <w:jc w:val="right"/>
              <w:rPr>
                <w:rFonts w:ascii="CorpoS" w:hAnsi="CorpoS"/>
                <w:sz w:val="22"/>
                <w:szCs w:val="22"/>
                <w:lang w:val="de-DE"/>
              </w:rPr>
            </w:pPr>
          </w:p>
        </w:tc>
      </w:tr>
      <w:tr w:rsidR="002975CF" w:rsidRPr="00C74F90" w14:paraId="0EC9FFF6" w14:textId="77777777" w:rsidTr="00722F0A">
        <w:tc>
          <w:tcPr>
            <w:tcW w:w="3969" w:type="dxa"/>
            <w:tcBorders>
              <w:right w:val="single" w:sz="4" w:space="0" w:color="auto"/>
            </w:tcBorders>
            <w:shd w:val="clear" w:color="auto" w:fill="auto"/>
          </w:tcPr>
          <w:p w14:paraId="40B6DB26" w14:textId="77777777" w:rsidR="002975CF" w:rsidRPr="00C74F90" w:rsidRDefault="002975CF" w:rsidP="002975CF">
            <w:pPr>
              <w:ind w:firstLine="176"/>
              <w:rPr>
                <w:rFonts w:ascii="CorpoS" w:hAnsi="CorpoS"/>
                <w:sz w:val="22"/>
                <w:szCs w:val="22"/>
              </w:rPr>
            </w:pPr>
            <w:r>
              <w:rPr>
                <w:rFonts w:ascii="CorpoS" w:hAnsi="CorpoS"/>
                <w:sz w:val="22"/>
              </w:rPr>
              <w:t>Intangible assets</w:t>
            </w:r>
          </w:p>
        </w:tc>
        <w:tc>
          <w:tcPr>
            <w:tcW w:w="1134" w:type="dxa"/>
            <w:tcBorders>
              <w:left w:val="single" w:sz="4" w:space="0" w:color="auto"/>
              <w:right w:val="single" w:sz="4" w:space="0" w:color="auto"/>
            </w:tcBorders>
          </w:tcPr>
          <w:p w14:paraId="42021F4A"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66773598"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064FEEA6" w14:textId="5168558B"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1,135</w:t>
            </w:r>
          </w:p>
        </w:tc>
        <w:tc>
          <w:tcPr>
            <w:tcW w:w="1276" w:type="dxa"/>
            <w:tcBorders>
              <w:top w:val="single" w:sz="4" w:space="0" w:color="auto"/>
              <w:bottom w:val="single" w:sz="4" w:space="0" w:color="auto"/>
            </w:tcBorders>
            <w:shd w:val="clear" w:color="auto" w:fill="auto"/>
            <w:vAlign w:val="center"/>
          </w:tcPr>
          <w:p w14:paraId="43831565" w14:textId="3C347271"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w:t>
            </w:r>
            <w:r w:rsidR="002C7132">
              <w:rPr>
                <w:rFonts w:ascii="CorpoS" w:hAnsi="CorpoS"/>
                <w:sz w:val="22"/>
              </w:rPr>
              <w:t>,</w:t>
            </w:r>
            <w:r>
              <w:rPr>
                <w:rFonts w:ascii="CorpoS" w:hAnsi="CorpoS"/>
                <w:sz w:val="22"/>
              </w:rPr>
              <w:t>128</w:t>
            </w:r>
          </w:p>
        </w:tc>
        <w:tc>
          <w:tcPr>
            <w:tcW w:w="1418" w:type="dxa"/>
            <w:tcBorders>
              <w:top w:val="single" w:sz="4" w:space="0" w:color="auto"/>
              <w:bottom w:val="single" w:sz="4" w:space="0" w:color="auto"/>
              <w:right w:val="single" w:sz="18" w:space="0" w:color="auto"/>
            </w:tcBorders>
            <w:shd w:val="clear" w:color="auto" w:fill="auto"/>
            <w:vAlign w:val="center"/>
          </w:tcPr>
          <w:p w14:paraId="16D89B49" w14:textId="46B60EFD"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w:t>
            </w:r>
          </w:p>
        </w:tc>
      </w:tr>
      <w:tr w:rsidR="002975CF" w:rsidRPr="00C74F90" w14:paraId="7FD757C1" w14:textId="77777777" w:rsidTr="00722F0A">
        <w:tc>
          <w:tcPr>
            <w:tcW w:w="3969" w:type="dxa"/>
            <w:tcBorders>
              <w:right w:val="single" w:sz="4" w:space="0" w:color="auto"/>
            </w:tcBorders>
            <w:shd w:val="clear" w:color="auto" w:fill="auto"/>
          </w:tcPr>
          <w:p w14:paraId="766D3BEF" w14:textId="77777777" w:rsidR="002975CF" w:rsidRPr="00C74F90" w:rsidRDefault="002975CF" w:rsidP="002975CF">
            <w:pPr>
              <w:ind w:left="176"/>
              <w:rPr>
                <w:rFonts w:ascii="CorpoS" w:hAnsi="CorpoS"/>
                <w:sz w:val="22"/>
                <w:szCs w:val="22"/>
              </w:rPr>
            </w:pPr>
            <w:r>
              <w:rPr>
                <w:rFonts w:ascii="CorpoS" w:hAnsi="CorpoS"/>
                <w:sz w:val="22"/>
              </w:rPr>
              <w:t>Cash and cash equivalents</w:t>
            </w:r>
          </w:p>
        </w:tc>
        <w:tc>
          <w:tcPr>
            <w:tcW w:w="1134" w:type="dxa"/>
            <w:tcBorders>
              <w:left w:val="single" w:sz="4" w:space="0" w:color="auto"/>
              <w:right w:val="single" w:sz="4" w:space="0" w:color="auto"/>
            </w:tcBorders>
          </w:tcPr>
          <w:p w14:paraId="57A1292C"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5CB565CF"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360F9476" w14:textId="3393CF28"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773</w:t>
            </w:r>
          </w:p>
        </w:tc>
        <w:tc>
          <w:tcPr>
            <w:tcW w:w="1276" w:type="dxa"/>
            <w:tcBorders>
              <w:top w:val="single" w:sz="4" w:space="0" w:color="auto"/>
              <w:bottom w:val="single" w:sz="4" w:space="0" w:color="auto"/>
            </w:tcBorders>
            <w:shd w:val="clear" w:color="auto" w:fill="auto"/>
            <w:vAlign w:val="center"/>
          </w:tcPr>
          <w:p w14:paraId="0EBF39AE" w14:textId="4B9C5BED"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722</w:t>
            </w:r>
          </w:p>
        </w:tc>
        <w:tc>
          <w:tcPr>
            <w:tcW w:w="1418" w:type="dxa"/>
            <w:tcBorders>
              <w:top w:val="single" w:sz="4" w:space="0" w:color="auto"/>
              <w:bottom w:val="single" w:sz="4" w:space="0" w:color="auto"/>
              <w:right w:val="single" w:sz="18" w:space="0" w:color="auto"/>
            </w:tcBorders>
            <w:shd w:val="clear" w:color="auto" w:fill="auto"/>
            <w:vAlign w:val="center"/>
          </w:tcPr>
          <w:p w14:paraId="59146E46" w14:textId="5169D135"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–7%</w:t>
            </w:r>
          </w:p>
        </w:tc>
      </w:tr>
      <w:tr w:rsidR="002975CF" w:rsidRPr="00C74F90" w14:paraId="0C216492" w14:textId="77777777" w:rsidTr="00722F0A">
        <w:tc>
          <w:tcPr>
            <w:tcW w:w="3969" w:type="dxa"/>
            <w:tcBorders>
              <w:right w:val="single" w:sz="4" w:space="0" w:color="auto"/>
            </w:tcBorders>
            <w:shd w:val="clear" w:color="auto" w:fill="auto"/>
          </w:tcPr>
          <w:p w14:paraId="034E8FA3" w14:textId="77777777" w:rsidR="002975CF" w:rsidRPr="00C74F90" w:rsidRDefault="002975CF" w:rsidP="002975CF">
            <w:pPr>
              <w:ind w:left="176"/>
              <w:rPr>
                <w:rFonts w:ascii="CorpoS" w:hAnsi="CorpoS"/>
                <w:sz w:val="22"/>
                <w:szCs w:val="22"/>
              </w:rPr>
            </w:pPr>
            <w:r>
              <w:rPr>
                <w:rFonts w:ascii="CorpoS" w:hAnsi="CorpoS"/>
                <w:sz w:val="22"/>
              </w:rPr>
              <w:t>Pension provisions</w:t>
            </w:r>
          </w:p>
        </w:tc>
        <w:tc>
          <w:tcPr>
            <w:tcW w:w="1134" w:type="dxa"/>
            <w:tcBorders>
              <w:left w:val="single" w:sz="4" w:space="0" w:color="auto"/>
              <w:right w:val="single" w:sz="4" w:space="0" w:color="auto"/>
            </w:tcBorders>
          </w:tcPr>
          <w:p w14:paraId="77E911E4"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43604214"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ED3D98C" w14:textId="635B749E"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1,009</w:t>
            </w:r>
          </w:p>
        </w:tc>
        <w:tc>
          <w:tcPr>
            <w:tcW w:w="1276" w:type="dxa"/>
            <w:tcBorders>
              <w:top w:val="single" w:sz="4" w:space="0" w:color="auto"/>
              <w:bottom w:val="single" w:sz="4" w:space="0" w:color="auto"/>
            </w:tcBorders>
            <w:shd w:val="clear" w:color="auto" w:fill="auto"/>
            <w:vAlign w:val="center"/>
          </w:tcPr>
          <w:p w14:paraId="004DB95D" w14:textId="7A636BF6"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948</w:t>
            </w:r>
          </w:p>
        </w:tc>
        <w:tc>
          <w:tcPr>
            <w:tcW w:w="1418" w:type="dxa"/>
            <w:tcBorders>
              <w:top w:val="single" w:sz="4" w:space="0" w:color="auto"/>
              <w:bottom w:val="single" w:sz="4" w:space="0" w:color="auto"/>
              <w:right w:val="single" w:sz="18" w:space="0" w:color="auto"/>
            </w:tcBorders>
            <w:shd w:val="clear" w:color="auto" w:fill="auto"/>
            <w:vAlign w:val="center"/>
          </w:tcPr>
          <w:p w14:paraId="40CCCEAC" w14:textId="638BBB2A"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–6%</w:t>
            </w:r>
          </w:p>
        </w:tc>
      </w:tr>
      <w:tr w:rsidR="002975CF" w:rsidRPr="00C74F90" w14:paraId="72BF8618" w14:textId="77777777" w:rsidTr="00722F0A">
        <w:tc>
          <w:tcPr>
            <w:tcW w:w="3969" w:type="dxa"/>
            <w:tcBorders>
              <w:right w:val="single" w:sz="4" w:space="0" w:color="auto"/>
            </w:tcBorders>
            <w:shd w:val="clear" w:color="auto" w:fill="auto"/>
          </w:tcPr>
          <w:p w14:paraId="781BECDC" w14:textId="77777777" w:rsidR="002975CF" w:rsidRPr="00C74F90" w:rsidRDefault="002975CF" w:rsidP="002975CF">
            <w:pPr>
              <w:ind w:left="176"/>
              <w:rPr>
                <w:rFonts w:ascii="CorpoS" w:hAnsi="CorpoS"/>
                <w:sz w:val="22"/>
                <w:szCs w:val="22"/>
              </w:rPr>
            </w:pPr>
            <w:r>
              <w:rPr>
                <w:rFonts w:ascii="CorpoS" w:hAnsi="CorpoS"/>
                <w:sz w:val="22"/>
              </w:rPr>
              <w:t>Equity</w:t>
            </w:r>
          </w:p>
        </w:tc>
        <w:tc>
          <w:tcPr>
            <w:tcW w:w="1134" w:type="dxa"/>
            <w:tcBorders>
              <w:left w:val="single" w:sz="4" w:space="0" w:color="auto"/>
              <w:right w:val="single" w:sz="4" w:space="0" w:color="auto"/>
            </w:tcBorders>
          </w:tcPr>
          <w:p w14:paraId="625A9A1F"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48D78E2C"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07611F1" w14:textId="4CA348CE"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2,635</w:t>
            </w:r>
          </w:p>
        </w:tc>
        <w:tc>
          <w:tcPr>
            <w:tcW w:w="1276" w:type="dxa"/>
            <w:tcBorders>
              <w:top w:val="single" w:sz="4" w:space="0" w:color="auto"/>
              <w:bottom w:val="single" w:sz="4" w:space="0" w:color="auto"/>
            </w:tcBorders>
            <w:shd w:val="clear" w:color="auto" w:fill="auto"/>
            <w:vAlign w:val="center"/>
          </w:tcPr>
          <w:p w14:paraId="1C9B09DE" w14:textId="4317336A"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w:t>
            </w:r>
            <w:r w:rsidR="002C7132">
              <w:rPr>
                <w:rFonts w:ascii="CorpoS" w:hAnsi="CorpoS"/>
                <w:sz w:val="22"/>
              </w:rPr>
              <w:t>,</w:t>
            </w:r>
            <w:r>
              <w:rPr>
                <w:rFonts w:ascii="CorpoS" w:hAnsi="CorpoS"/>
                <w:sz w:val="22"/>
              </w:rPr>
              <w:t>760</w:t>
            </w:r>
          </w:p>
        </w:tc>
        <w:tc>
          <w:tcPr>
            <w:tcW w:w="1418" w:type="dxa"/>
            <w:tcBorders>
              <w:top w:val="single" w:sz="4" w:space="0" w:color="auto"/>
              <w:bottom w:val="single" w:sz="4" w:space="0" w:color="auto"/>
              <w:right w:val="single" w:sz="18" w:space="0" w:color="auto"/>
            </w:tcBorders>
            <w:shd w:val="clear" w:color="auto" w:fill="auto"/>
            <w:vAlign w:val="center"/>
          </w:tcPr>
          <w:p w14:paraId="02D64FC9" w14:textId="02981D18"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+5%</w:t>
            </w:r>
          </w:p>
        </w:tc>
      </w:tr>
      <w:tr w:rsidR="002975CF" w:rsidRPr="00C74F90" w14:paraId="67DE3877" w14:textId="77777777" w:rsidTr="00722F0A">
        <w:tc>
          <w:tcPr>
            <w:tcW w:w="3969" w:type="dxa"/>
            <w:tcBorders>
              <w:right w:val="single" w:sz="4" w:space="0" w:color="auto"/>
            </w:tcBorders>
            <w:shd w:val="clear" w:color="auto" w:fill="auto"/>
          </w:tcPr>
          <w:p w14:paraId="388829C7" w14:textId="77777777" w:rsidR="002975CF" w:rsidRPr="00C74F90" w:rsidRDefault="002975CF" w:rsidP="002975CF">
            <w:pPr>
              <w:ind w:left="176"/>
              <w:rPr>
                <w:rFonts w:ascii="CorpoS" w:hAnsi="CorpoS"/>
                <w:sz w:val="22"/>
                <w:szCs w:val="22"/>
              </w:rPr>
            </w:pPr>
            <w:r>
              <w:rPr>
                <w:rFonts w:ascii="CorpoS" w:hAnsi="CorpoS"/>
                <w:sz w:val="22"/>
              </w:rPr>
              <w:t>Net financial debt</w:t>
            </w:r>
          </w:p>
        </w:tc>
        <w:tc>
          <w:tcPr>
            <w:tcW w:w="1134" w:type="dxa"/>
            <w:tcBorders>
              <w:left w:val="single" w:sz="4" w:space="0" w:color="auto"/>
              <w:right w:val="single" w:sz="4" w:space="0" w:color="auto"/>
            </w:tcBorders>
          </w:tcPr>
          <w:p w14:paraId="5AB786CA"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4DBAE8DF"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168485A9" w14:textId="0C64903A"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781</w:t>
            </w:r>
          </w:p>
        </w:tc>
        <w:tc>
          <w:tcPr>
            <w:tcW w:w="1276" w:type="dxa"/>
            <w:tcBorders>
              <w:top w:val="single" w:sz="4" w:space="0" w:color="auto"/>
              <w:bottom w:val="single" w:sz="4" w:space="0" w:color="auto"/>
            </w:tcBorders>
            <w:shd w:val="clear" w:color="auto" w:fill="auto"/>
            <w:vAlign w:val="center"/>
          </w:tcPr>
          <w:p w14:paraId="75086548" w14:textId="06A2A071"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673</w:t>
            </w:r>
          </w:p>
        </w:tc>
        <w:tc>
          <w:tcPr>
            <w:tcW w:w="1418" w:type="dxa"/>
            <w:tcBorders>
              <w:top w:val="single" w:sz="4" w:space="0" w:color="auto"/>
              <w:bottom w:val="single" w:sz="4" w:space="0" w:color="auto"/>
              <w:right w:val="single" w:sz="18" w:space="0" w:color="auto"/>
            </w:tcBorders>
            <w:shd w:val="clear" w:color="auto" w:fill="auto"/>
            <w:vAlign w:val="center"/>
          </w:tcPr>
          <w:p w14:paraId="5E226088" w14:textId="20A0C53D"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–14%</w:t>
            </w:r>
          </w:p>
        </w:tc>
      </w:tr>
      <w:tr w:rsidR="002975CF" w:rsidRPr="00C74F90" w14:paraId="008AEB12" w14:textId="77777777" w:rsidTr="00722F0A">
        <w:tc>
          <w:tcPr>
            <w:tcW w:w="3969" w:type="dxa"/>
            <w:tcBorders>
              <w:right w:val="single" w:sz="4" w:space="0" w:color="auto"/>
            </w:tcBorders>
            <w:shd w:val="clear" w:color="auto" w:fill="auto"/>
          </w:tcPr>
          <w:p w14:paraId="53291F1F" w14:textId="77777777" w:rsidR="002975CF" w:rsidRPr="00C74F90" w:rsidRDefault="002975CF" w:rsidP="002975CF">
            <w:pPr>
              <w:ind w:left="176"/>
              <w:rPr>
                <w:rFonts w:ascii="CorpoS" w:hAnsi="CorpoS"/>
                <w:sz w:val="22"/>
                <w:szCs w:val="22"/>
              </w:rPr>
            </w:pPr>
            <w:r>
              <w:rPr>
                <w:rFonts w:ascii="CorpoS" w:hAnsi="CorpoS"/>
                <w:sz w:val="22"/>
              </w:rPr>
              <w:t>Total assets</w:t>
            </w:r>
          </w:p>
        </w:tc>
        <w:tc>
          <w:tcPr>
            <w:tcW w:w="1134" w:type="dxa"/>
            <w:tcBorders>
              <w:left w:val="single" w:sz="4" w:space="0" w:color="auto"/>
              <w:right w:val="single" w:sz="4" w:space="0" w:color="auto"/>
            </w:tcBorders>
          </w:tcPr>
          <w:p w14:paraId="6B9BC5B2" w14:textId="77777777" w:rsidR="002975CF" w:rsidRPr="00C74F90" w:rsidRDefault="002975CF" w:rsidP="002975CF">
            <w:pPr>
              <w:jc w:val="right"/>
              <w:rPr>
                <w:rFonts w:ascii="CorpoS" w:hAnsi="CorpoS"/>
                <w:sz w:val="22"/>
                <w:szCs w:val="22"/>
                <w:lang w:val="de-DE"/>
              </w:rPr>
            </w:pPr>
          </w:p>
        </w:tc>
        <w:tc>
          <w:tcPr>
            <w:tcW w:w="1134" w:type="dxa"/>
            <w:tcBorders>
              <w:left w:val="single" w:sz="4" w:space="0" w:color="auto"/>
              <w:right w:val="single" w:sz="18" w:space="0" w:color="auto"/>
            </w:tcBorders>
          </w:tcPr>
          <w:p w14:paraId="51FC2AE9" w14:textId="77777777" w:rsidR="002975CF" w:rsidRPr="00C74F90" w:rsidRDefault="002975CF" w:rsidP="002975CF">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2070030" w14:textId="7AD8C51F"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8,104</w:t>
            </w:r>
          </w:p>
        </w:tc>
        <w:tc>
          <w:tcPr>
            <w:tcW w:w="1276" w:type="dxa"/>
            <w:tcBorders>
              <w:top w:val="single" w:sz="4" w:space="0" w:color="auto"/>
              <w:bottom w:val="single" w:sz="4" w:space="0" w:color="auto"/>
            </w:tcBorders>
            <w:shd w:val="clear" w:color="auto" w:fill="auto"/>
            <w:vAlign w:val="center"/>
          </w:tcPr>
          <w:p w14:paraId="719F1F94" w14:textId="6C1C4598"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8</w:t>
            </w:r>
            <w:r w:rsidR="002C7132">
              <w:rPr>
                <w:rFonts w:ascii="CorpoS" w:hAnsi="CorpoS"/>
                <w:sz w:val="22"/>
              </w:rPr>
              <w:t>,</w:t>
            </w:r>
            <w:r>
              <w:rPr>
                <w:rFonts w:ascii="CorpoS" w:hAnsi="CorpoS"/>
                <w:sz w:val="22"/>
              </w:rPr>
              <w:t>304</w:t>
            </w:r>
          </w:p>
        </w:tc>
        <w:tc>
          <w:tcPr>
            <w:tcW w:w="1418" w:type="dxa"/>
            <w:tcBorders>
              <w:top w:val="single" w:sz="4" w:space="0" w:color="auto"/>
              <w:bottom w:val="single" w:sz="4" w:space="0" w:color="auto"/>
              <w:right w:val="single" w:sz="18" w:space="0" w:color="auto"/>
            </w:tcBorders>
            <w:shd w:val="clear" w:color="auto" w:fill="auto"/>
            <w:vAlign w:val="center"/>
          </w:tcPr>
          <w:p w14:paraId="008B716C" w14:textId="52BB6C62" w:rsidR="002975CF" w:rsidRPr="00B4335E" w:rsidRDefault="002975CF" w:rsidP="002975CF">
            <w:pPr>
              <w:ind w:firstLineChars="100" w:firstLine="220"/>
              <w:jc w:val="right"/>
              <w:rPr>
                <w:rFonts w:ascii="CorpoS" w:hAnsi="CorpoS" w:cs="Arial"/>
                <w:color w:val="FF0000"/>
                <w:sz w:val="22"/>
                <w:szCs w:val="22"/>
              </w:rPr>
            </w:pPr>
            <w:r>
              <w:rPr>
                <w:rFonts w:ascii="CorpoS" w:hAnsi="CorpoS"/>
                <w:sz w:val="22"/>
              </w:rPr>
              <w:t>+2%</w:t>
            </w:r>
          </w:p>
        </w:tc>
      </w:tr>
      <w:tr w:rsidR="00B4335E" w:rsidRPr="00C74F90" w14:paraId="124263A6" w14:textId="77777777" w:rsidTr="00722F0A">
        <w:trPr>
          <w:trHeight w:val="50"/>
        </w:trPr>
        <w:tc>
          <w:tcPr>
            <w:tcW w:w="3969" w:type="dxa"/>
            <w:tcBorders>
              <w:right w:val="single" w:sz="4" w:space="0" w:color="auto"/>
            </w:tcBorders>
            <w:shd w:val="clear" w:color="auto" w:fill="auto"/>
          </w:tcPr>
          <w:p w14:paraId="6C68B2CE" w14:textId="77777777" w:rsidR="00B4335E" w:rsidRPr="00C74F90" w:rsidRDefault="00B4335E" w:rsidP="00B4335E">
            <w:pPr>
              <w:rPr>
                <w:rFonts w:ascii="CorpoS" w:hAnsi="CorpoS"/>
                <w:sz w:val="8"/>
                <w:szCs w:val="8"/>
                <w:lang w:val="de-DE"/>
              </w:rPr>
            </w:pPr>
          </w:p>
        </w:tc>
        <w:tc>
          <w:tcPr>
            <w:tcW w:w="1134" w:type="dxa"/>
            <w:tcBorders>
              <w:left w:val="single" w:sz="4" w:space="0" w:color="auto"/>
              <w:right w:val="single" w:sz="4" w:space="0" w:color="auto"/>
            </w:tcBorders>
          </w:tcPr>
          <w:p w14:paraId="07A0870E" w14:textId="77777777" w:rsidR="00B4335E" w:rsidRPr="00C74F90" w:rsidRDefault="00B4335E" w:rsidP="00B4335E">
            <w:pPr>
              <w:jc w:val="right"/>
              <w:rPr>
                <w:rFonts w:ascii="CorpoS" w:hAnsi="CorpoS"/>
                <w:sz w:val="8"/>
                <w:szCs w:val="8"/>
                <w:lang w:val="de-DE"/>
              </w:rPr>
            </w:pPr>
          </w:p>
        </w:tc>
        <w:tc>
          <w:tcPr>
            <w:tcW w:w="1134" w:type="dxa"/>
            <w:tcBorders>
              <w:left w:val="single" w:sz="4" w:space="0" w:color="auto"/>
              <w:right w:val="single" w:sz="18" w:space="0" w:color="auto"/>
            </w:tcBorders>
          </w:tcPr>
          <w:p w14:paraId="3469D2C4" w14:textId="77777777" w:rsidR="00B4335E" w:rsidRPr="00C74F90" w:rsidRDefault="00B4335E" w:rsidP="00B4335E">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5AC78943" w14:textId="77777777" w:rsidR="00B4335E" w:rsidRPr="00B4335E" w:rsidRDefault="00B4335E" w:rsidP="00B4335E">
            <w:pPr>
              <w:ind w:firstLineChars="100" w:firstLine="80"/>
              <w:jc w:val="right"/>
              <w:rPr>
                <w:rFonts w:ascii="CorpoS" w:hAnsi="CorpoS" w:cs="Arial"/>
                <w:color w:val="FF0000"/>
                <w:sz w:val="8"/>
                <w:szCs w:val="8"/>
              </w:rPr>
            </w:pPr>
          </w:p>
        </w:tc>
        <w:tc>
          <w:tcPr>
            <w:tcW w:w="1276" w:type="dxa"/>
            <w:tcBorders>
              <w:top w:val="single" w:sz="4" w:space="0" w:color="auto"/>
              <w:bottom w:val="single" w:sz="4" w:space="0" w:color="auto"/>
            </w:tcBorders>
            <w:shd w:val="clear" w:color="auto" w:fill="auto"/>
            <w:vAlign w:val="center"/>
          </w:tcPr>
          <w:p w14:paraId="33E9A3EF" w14:textId="77777777" w:rsidR="00B4335E" w:rsidRPr="00B4335E" w:rsidRDefault="00B4335E" w:rsidP="00B4335E">
            <w:pPr>
              <w:ind w:firstLineChars="100" w:firstLine="80"/>
              <w:jc w:val="right"/>
              <w:rPr>
                <w:rFonts w:ascii="CorpoS" w:hAnsi="CorpoS" w:cs="Arial"/>
                <w:color w:val="FF0000"/>
                <w:sz w:val="8"/>
                <w:szCs w:val="8"/>
              </w:rPr>
            </w:pPr>
          </w:p>
        </w:tc>
        <w:tc>
          <w:tcPr>
            <w:tcW w:w="1418" w:type="dxa"/>
            <w:tcBorders>
              <w:top w:val="single" w:sz="4" w:space="0" w:color="auto"/>
              <w:bottom w:val="single" w:sz="4" w:space="0" w:color="auto"/>
              <w:right w:val="single" w:sz="18" w:space="0" w:color="auto"/>
            </w:tcBorders>
            <w:shd w:val="clear" w:color="auto" w:fill="auto"/>
            <w:vAlign w:val="center"/>
          </w:tcPr>
          <w:p w14:paraId="2542E470" w14:textId="77777777" w:rsidR="00B4335E" w:rsidRPr="00B4335E" w:rsidRDefault="00B4335E" w:rsidP="00B4335E">
            <w:pPr>
              <w:ind w:firstLineChars="100" w:firstLine="80"/>
              <w:jc w:val="right"/>
              <w:rPr>
                <w:rFonts w:ascii="CorpoS" w:hAnsi="CorpoS" w:cs="Arial"/>
                <w:color w:val="FF0000"/>
                <w:sz w:val="8"/>
                <w:szCs w:val="8"/>
              </w:rPr>
            </w:pPr>
            <w:r>
              <w:rPr>
                <w:rFonts w:ascii="CorpoS" w:hAnsi="CorpoS"/>
                <w:color w:val="FF0000"/>
                <w:sz w:val="8"/>
              </w:rPr>
              <w:t xml:space="preserve">    </w:t>
            </w:r>
          </w:p>
        </w:tc>
      </w:tr>
      <w:tr w:rsidR="00C07B87" w:rsidRPr="00C74F90" w14:paraId="5B0F1699" w14:textId="77777777" w:rsidTr="00722F0A">
        <w:tc>
          <w:tcPr>
            <w:tcW w:w="3969" w:type="dxa"/>
            <w:tcBorders>
              <w:right w:val="single" w:sz="4" w:space="0" w:color="auto"/>
            </w:tcBorders>
            <w:shd w:val="clear" w:color="auto" w:fill="auto"/>
          </w:tcPr>
          <w:p w14:paraId="17F58B4F" w14:textId="77777777" w:rsidR="00C07B87" w:rsidRPr="00C74F90" w:rsidRDefault="00C07B87" w:rsidP="00C07B87">
            <w:pPr>
              <w:rPr>
                <w:rFonts w:ascii="CorpoS" w:hAnsi="CorpoS"/>
                <w:b/>
                <w:sz w:val="22"/>
                <w:szCs w:val="22"/>
              </w:rPr>
            </w:pPr>
            <w:r>
              <w:rPr>
                <w:rFonts w:ascii="CorpoS" w:hAnsi="CorpoS"/>
                <w:b/>
                <w:sz w:val="22"/>
              </w:rPr>
              <w:t>Order backlog</w:t>
            </w:r>
          </w:p>
        </w:tc>
        <w:tc>
          <w:tcPr>
            <w:tcW w:w="1134" w:type="dxa"/>
            <w:tcBorders>
              <w:left w:val="single" w:sz="4" w:space="0" w:color="auto"/>
              <w:right w:val="single" w:sz="4" w:space="0" w:color="auto"/>
            </w:tcBorders>
          </w:tcPr>
          <w:p w14:paraId="41EE0B6C" w14:textId="77777777" w:rsidR="00C07B87" w:rsidRPr="00C74F90" w:rsidRDefault="00C07B87" w:rsidP="00C07B87">
            <w:pPr>
              <w:jc w:val="right"/>
              <w:rPr>
                <w:rFonts w:ascii="CorpoS" w:hAnsi="CorpoS"/>
                <w:sz w:val="22"/>
                <w:szCs w:val="22"/>
                <w:lang w:val="de-DE"/>
              </w:rPr>
            </w:pPr>
          </w:p>
        </w:tc>
        <w:tc>
          <w:tcPr>
            <w:tcW w:w="1134" w:type="dxa"/>
            <w:tcBorders>
              <w:left w:val="single" w:sz="4" w:space="0" w:color="auto"/>
              <w:right w:val="single" w:sz="18" w:space="0" w:color="auto"/>
            </w:tcBorders>
          </w:tcPr>
          <w:p w14:paraId="64391123" w14:textId="77777777" w:rsidR="00C07B87" w:rsidRPr="00C74F90" w:rsidRDefault="00C07B87" w:rsidP="00C07B87">
            <w:pPr>
              <w:jc w:val="right"/>
              <w:rPr>
                <w:rFonts w:ascii="CorpoS" w:hAnsi="CorpoS"/>
                <w:sz w:val="22"/>
                <w:szCs w:val="22"/>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7C5362EC" w14:textId="1C11054D" w:rsidR="00C07B87" w:rsidRPr="00B4335E" w:rsidRDefault="00C07B87" w:rsidP="00C07B87">
            <w:pPr>
              <w:ind w:firstLineChars="100" w:firstLine="220"/>
              <w:jc w:val="right"/>
              <w:rPr>
                <w:rFonts w:ascii="CorpoS" w:hAnsi="CorpoS" w:cs="Arial"/>
                <w:color w:val="FF0000"/>
                <w:sz w:val="22"/>
                <w:szCs w:val="22"/>
              </w:rPr>
            </w:pPr>
            <w:r>
              <w:rPr>
                <w:rFonts w:ascii="CorpoS" w:hAnsi="CorpoS"/>
                <w:sz w:val="22"/>
              </w:rPr>
              <w:t>18,608</w:t>
            </w:r>
          </w:p>
        </w:tc>
        <w:tc>
          <w:tcPr>
            <w:tcW w:w="1276" w:type="dxa"/>
            <w:tcBorders>
              <w:top w:val="single" w:sz="4" w:space="0" w:color="auto"/>
              <w:bottom w:val="single" w:sz="4" w:space="0" w:color="auto"/>
            </w:tcBorders>
            <w:shd w:val="clear" w:color="auto" w:fill="auto"/>
            <w:vAlign w:val="center"/>
          </w:tcPr>
          <w:p w14:paraId="2606F790" w14:textId="63864480" w:rsidR="00C07B87" w:rsidRPr="00B4335E" w:rsidRDefault="00C07B87" w:rsidP="00C07B87">
            <w:pPr>
              <w:ind w:firstLineChars="100" w:firstLine="220"/>
              <w:jc w:val="right"/>
              <w:rPr>
                <w:rFonts w:ascii="CorpoS" w:hAnsi="CorpoS" w:cs="Arial"/>
                <w:color w:val="FF0000"/>
                <w:sz w:val="22"/>
                <w:szCs w:val="22"/>
              </w:rPr>
            </w:pPr>
            <w:r>
              <w:rPr>
                <w:rFonts w:ascii="CorpoS" w:hAnsi="CorpoS"/>
                <w:sz w:val="22"/>
              </w:rPr>
              <w:t>22</w:t>
            </w:r>
            <w:r w:rsidR="002C7132">
              <w:rPr>
                <w:rFonts w:ascii="CorpoS" w:hAnsi="CorpoS"/>
                <w:sz w:val="22"/>
              </w:rPr>
              <w:t>,</w:t>
            </w:r>
            <w:r>
              <w:rPr>
                <w:rFonts w:ascii="CorpoS" w:hAnsi="CorpoS"/>
                <w:sz w:val="22"/>
              </w:rPr>
              <w:t>237</w:t>
            </w:r>
          </w:p>
        </w:tc>
        <w:tc>
          <w:tcPr>
            <w:tcW w:w="1418" w:type="dxa"/>
            <w:tcBorders>
              <w:top w:val="single" w:sz="4" w:space="0" w:color="auto"/>
              <w:bottom w:val="single" w:sz="4" w:space="0" w:color="auto"/>
              <w:right w:val="single" w:sz="18" w:space="0" w:color="auto"/>
            </w:tcBorders>
            <w:shd w:val="clear" w:color="auto" w:fill="auto"/>
            <w:vAlign w:val="center"/>
          </w:tcPr>
          <w:p w14:paraId="745424A7" w14:textId="6E53880D" w:rsidR="00C07B87" w:rsidRPr="00B4335E" w:rsidRDefault="00C07B87" w:rsidP="00C07B87">
            <w:pPr>
              <w:ind w:firstLineChars="100" w:firstLine="220"/>
              <w:jc w:val="right"/>
              <w:rPr>
                <w:rFonts w:ascii="CorpoS" w:hAnsi="CorpoS" w:cs="Arial"/>
                <w:color w:val="FF0000"/>
                <w:sz w:val="22"/>
                <w:szCs w:val="22"/>
              </w:rPr>
            </w:pPr>
            <w:r>
              <w:rPr>
                <w:rFonts w:ascii="CorpoS" w:hAnsi="CorpoS"/>
                <w:sz w:val="22"/>
              </w:rPr>
              <w:t>+20%</w:t>
            </w:r>
          </w:p>
        </w:tc>
      </w:tr>
      <w:tr w:rsidR="00B4335E" w:rsidRPr="00C74F90" w14:paraId="6EE5E120" w14:textId="77777777" w:rsidTr="00722F0A">
        <w:trPr>
          <w:cantSplit/>
          <w:trHeight w:val="20"/>
        </w:trPr>
        <w:tc>
          <w:tcPr>
            <w:tcW w:w="3969" w:type="dxa"/>
            <w:tcBorders>
              <w:right w:val="single" w:sz="4" w:space="0" w:color="auto"/>
            </w:tcBorders>
            <w:shd w:val="clear" w:color="auto" w:fill="auto"/>
          </w:tcPr>
          <w:p w14:paraId="6CE2D634" w14:textId="77777777" w:rsidR="00B4335E" w:rsidRPr="00C74F90" w:rsidRDefault="00B4335E" w:rsidP="00B4335E">
            <w:pPr>
              <w:rPr>
                <w:rFonts w:ascii="CorpoS" w:hAnsi="CorpoS"/>
                <w:sz w:val="8"/>
                <w:szCs w:val="8"/>
                <w:lang w:val="de-DE"/>
              </w:rPr>
            </w:pPr>
          </w:p>
        </w:tc>
        <w:tc>
          <w:tcPr>
            <w:tcW w:w="1134" w:type="dxa"/>
            <w:tcBorders>
              <w:left w:val="single" w:sz="4" w:space="0" w:color="auto"/>
              <w:right w:val="single" w:sz="4" w:space="0" w:color="auto"/>
            </w:tcBorders>
          </w:tcPr>
          <w:p w14:paraId="554074F0" w14:textId="77777777" w:rsidR="00B4335E" w:rsidRPr="00C74F90" w:rsidRDefault="00B4335E" w:rsidP="00B4335E">
            <w:pPr>
              <w:jc w:val="right"/>
              <w:rPr>
                <w:rFonts w:ascii="CorpoS" w:hAnsi="CorpoS"/>
                <w:sz w:val="8"/>
                <w:szCs w:val="8"/>
                <w:lang w:val="de-DE"/>
              </w:rPr>
            </w:pPr>
          </w:p>
        </w:tc>
        <w:tc>
          <w:tcPr>
            <w:tcW w:w="1134" w:type="dxa"/>
            <w:tcBorders>
              <w:left w:val="single" w:sz="4" w:space="0" w:color="auto"/>
              <w:right w:val="single" w:sz="18" w:space="0" w:color="auto"/>
            </w:tcBorders>
          </w:tcPr>
          <w:p w14:paraId="24D2F255" w14:textId="77777777" w:rsidR="00B4335E" w:rsidRPr="00C74F90" w:rsidRDefault="00B4335E" w:rsidP="00B4335E">
            <w:pPr>
              <w:jc w:val="right"/>
              <w:rPr>
                <w:rFonts w:ascii="CorpoS" w:hAnsi="CorpoS"/>
                <w:sz w:val="8"/>
                <w:szCs w:val="8"/>
                <w:lang w:val="de-DE"/>
              </w:rPr>
            </w:pPr>
          </w:p>
        </w:tc>
        <w:tc>
          <w:tcPr>
            <w:tcW w:w="1276" w:type="dxa"/>
            <w:tcBorders>
              <w:top w:val="single" w:sz="4" w:space="0" w:color="auto"/>
              <w:left w:val="single" w:sz="18" w:space="0" w:color="auto"/>
              <w:bottom w:val="single" w:sz="4" w:space="0" w:color="auto"/>
            </w:tcBorders>
            <w:shd w:val="clear" w:color="auto" w:fill="auto"/>
            <w:vAlign w:val="center"/>
          </w:tcPr>
          <w:p w14:paraId="4BA763DF" w14:textId="5AD06508" w:rsidR="00B4335E" w:rsidRPr="00B4335E" w:rsidRDefault="00B4335E" w:rsidP="00B4335E">
            <w:pPr>
              <w:ind w:firstLineChars="100" w:firstLine="80"/>
              <w:jc w:val="right"/>
              <w:rPr>
                <w:rFonts w:ascii="CorpoS" w:hAnsi="CorpoS" w:cs="Arial"/>
                <w:color w:val="FF0000"/>
                <w:sz w:val="8"/>
                <w:szCs w:val="8"/>
              </w:rPr>
            </w:pPr>
            <w:r>
              <w:rPr>
                <w:rFonts w:ascii="CorpoS" w:hAnsi="CorpoS"/>
                <w:color w:val="FF0000"/>
                <w:sz w:val="8"/>
              </w:rPr>
              <w:t> </w:t>
            </w:r>
          </w:p>
        </w:tc>
        <w:tc>
          <w:tcPr>
            <w:tcW w:w="1276" w:type="dxa"/>
            <w:tcBorders>
              <w:top w:val="single" w:sz="4" w:space="0" w:color="auto"/>
              <w:bottom w:val="single" w:sz="4" w:space="0" w:color="auto"/>
            </w:tcBorders>
            <w:shd w:val="clear" w:color="auto" w:fill="auto"/>
            <w:vAlign w:val="center"/>
          </w:tcPr>
          <w:p w14:paraId="6FAF364E" w14:textId="77777777" w:rsidR="00B4335E" w:rsidRPr="00B4335E" w:rsidRDefault="00B4335E" w:rsidP="00B4335E">
            <w:pPr>
              <w:ind w:firstLineChars="100" w:firstLine="80"/>
              <w:jc w:val="right"/>
              <w:rPr>
                <w:rFonts w:ascii="CorpoS" w:hAnsi="CorpoS" w:cs="Arial"/>
                <w:color w:val="FF0000"/>
                <w:sz w:val="8"/>
                <w:szCs w:val="8"/>
              </w:rPr>
            </w:pPr>
            <w:r>
              <w:rPr>
                <w:rFonts w:ascii="CorpoS" w:hAnsi="CorpoS"/>
                <w:color w:val="FF0000"/>
                <w:sz w:val="8"/>
              </w:rPr>
              <w:t> </w:t>
            </w:r>
          </w:p>
        </w:tc>
        <w:tc>
          <w:tcPr>
            <w:tcW w:w="1418" w:type="dxa"/>
            <w:tcBorders>
              <w:top w:val="single" w:sz="4" w:space="0" w:color="auto"/>
              <w:bottom w:val="single" w:sz="4" w:space="0" w:color="auto"/>
              <w:right w:val="single" w:sz="18" w:space="0" w:color="auto"/>
            </w:tcBorders>
            <w:shd w:val="clear" w:color="auto" w:fill="auto"/>
            <w:vAlign w:val="center"/>
          </w:tcPr>
          <w:p w14:paraId="2FC33570" w14:textId="77777777" w:rsidR="00B4335E" w:rsidRPr="00B4335E" w:rsidRDefault="00B4335E" w:rsidP="00B4335E">
            <w:pPr>
              <w:ind w:firstLineChars="100" w:firstLine="80"/>
              <w:jc w:val="right"/>
              <w:rPr>
                <w:rFonts w:ascii="CorpoS" w:hAnsi="CorpoS" w:cs="Arial"/>
                <w:color w:val="FF0000"/>
                <w:sz w:val="8"/>
                <w:szCs w:val="8"/>
              </w:rPr>
            </w:pPr>
            <w:r>
              <w:rPr>
                <w:rFonts w:ascii="CorpoS" w:hAnsi="CorpoS"/>
                <w:color w:val="FF0000"/>
                <w:sz w:val="8"/>
              </w:rPr>
              <w:t xml:space="preserve">  </w:t>
            </w:r>
          </w:p>
        </w:tc>
      </w:tr>
      <w:tr w:rsidR="00C07B87" w:rsidRPr="00C74F90" w14:paraId="755968C0" w14:textId="77777777" w:rsidTr="00722F0A">
        <w:tc>
          <w:tcPr>
            <w:tcW w:w="3969" w:type="dxa"/>
            <w:tcBorders>
              <w:right w:val="single" w:sz="4" w:space="0" w:color="auto"/>
            </w:tcBorders>
            <w:shd w:val="clear" w:color="auto" w:fill="auto"/>
          </w:tcPr>
          <w:p w14:paraId="03FA87DB" w14:textId="317AC09D" w:rsidR="00C07B87" w:rsidRPr="00C74F90" w:rsidRDefault="00C07B87" w:rsidP="00C07B87">
            <w:pPr>
              <w:rPr>
                <w:rFonts w:ascii="CorpoS" w:hAnsi="CorpoS"/>
                <w:b/>
                <w:sz w:val="22"/>
                <w:szCs w:val="22"/>
              </w:rPr>
            </w:pPr>
            <w:r>
              <w:rPr>
                <w:rFonts w:ascii="CorpoS" w:hAnsi="CorpoS"/>
                <w:b/>
                <w:sz w:val="22"/>
              </w:rPr>
              <w:t>Employees</w:t>
            </w:r>
          </w:p>
        </w:tc>
        <w:tc>
          <w:tcPr>
            <w:tcW w:w="1134" w:type="dxa"/>
            <w:tcBorders>
              <w:left w:val="single" w:sz="4" w:space="0" w:color="auto"/>
              <w:right w:val="single" w:sz="4" w:space="0" w:color="auto"/>
            </w:tcBorders>
          </w:tcPr>
          <w:p w14:paraId="3D3AA085" w14:textId="77777777" w:rsidR="00C07B87" w:rsidRPr="00C74F90" w:rsidRDefault="00C07B87" w:rsidP="00C07B87">
            <w:pPr>
              <w:jc w:val="right"/>
              <w:rPr>
                <w:rFonts w:ascii="CorpoS" w:hAnsi="CorpoS"/>
                <w:sz w:val="22"/>
                <w:szCs w:val="22"/>
                <w:lang w:val="de-DE"/>
              </w:rPr>
            </w:pPr>
          </w:p>
        </w:tc>
        <w:tc>
          <w:tcPr>
            <w:tcW w:w="1134" w:type="dxa"/>
            <w:tcBorders>
              <w:left w:val="single" w:sz="4" w:space="0" w:color="auto"/>
              <w:right w:val="single" w:sz="18" w:space="0" w:color="auto"/>
            </w:tcBorders>
          </w:tcPr>
          <w:p w14:paraId="0D2CDE7E" w14:textId="77777777" w:rsidR="00C07B87" w:rsidRPr="00C74F90" w:rsidRDefault="00C07B87" w:rsidP="00C07B87">
            <w:pPr>
              <w:jc w:val="right"/>
              <w:rPr>
                <w:rFonts w:ascii="CorpoS" w:hAnsi="CorpoS"/>
                <w:sz w:val="22"/>
                <w:szCs w:val="22"/>
                <w:lang w:val="de-DE"/>
              </w:rPr>
            </w:pPr>
          </w:p>
        </w:tc>
        <w:tc>
          <w:tcPr>
            <w:tcW w:w="1276" w:type="dxa"/>
            <w:tcBorders>
              <w:top w:val="single" w:sz="4" w:space="0" w:color="auto"/>
              <w:left w:val="single" w:sz="18" w:space="0" w:color="auto"/>
              <w:bottom w:val="single" w:sz="18" w:space="0" w:color="auto"/>
            </w:tcBorders>
            <w:shd w:val="clear" w:color="auto" w:fill="auto"/>
            <w:vAlign w:val="center"/>
          </w:tcPr>
          <w:p w14:paraId="0D6048E4" w14:textId="30FECE8C" w:rsidR="00C07B87" w:rsidRPr="00B4335E" w:rsidRDefault="00C07B87" w:rsidP="00C07B87">
            <w:pPr>
              <w:ind w:firstLineChars="100" w:firstLine="220"/>
              <w:jc w:val="right"/>
              <w:rPr>
                <w:rFonts w:ascii="CorpoS" w:hAnsi="CorpoS" w:cs="Arial"/>
                <w:color w:val="FF0000"/>
                <w:sz w:val="22"/>
                <w:szCs w:val="22"/>
              </w:rPr>
            </w:pPr>
            <w:r>
              <w:rPr>
                <w:rFonts w:ascii="CorpoS" w:hAnsi="CorpoS"/>
                <w:sz w:val="22"/>
              </w:rPr>
              <w:t>10</w:t>
            </w:r>
            <w:r w:rsidR="002C7132">
              <w:rPr>
                <w:rFonts w:ascii="CorpoS" w:hAnsi="CorpoS"/>
                <w:sz w:val="22"/>
              </w:rPr>
              <w:t>,</w:t>
            </w:r>
            <w:r>
              <w:rPr>
                <w:rFonts w:ascii="CorpoS" w:hAnsi="CorpoS"/>
                <w:sz w:val="22"/>
              </w:rPr>
              <w:t>313</w:t>
            </w:r>
          </w:p>
        </w:tc>
        <w:tc>
          <w:tcPr>
            <w:tcW w:w="1276" w:type="dxa"/>
            <w:tcBorders>
              <w:top w:val="single" w:sz="4" w:space="0" w:color="auto"/>
              <w:bottom w:val="single" w:sz="18" w:space="0" w:color="auto"/>
            </w:tcBorders>
            <w:shd w:val="clear" w:color="auto" w:fill="auto"/>
            <w:vAlign w:val="center"/>
          </w:tcPr>
          <w:p w14:paraId="41D90062" w14:textId="3A46A7DA" w:rsidR="00C07B87" w:rsidRPr="00B4335E" w:rsidRDefault="00C07B87" w:rsidP="00C07B87">
            <w:pPr>
              <w:ind w:firstLineChars="100" w:firstLine="220"/>
              <w:jc w:val="right"/>
              <w:rPr>
                <w:rFonts w:ascii="CorpoS" w:hAnsi="CorpoS" w:cs="Arial"/>
                <w:color w:val="FF0000"/>
                <w:sz w:val="22"/>
                <w:szCs w:val="22"/>
              </w:rPr>
            </w:pPr>
            <w:r>
              <w:rPr>
                <w:rFonts w:ascii="CorpoS" w:hAnsi="CorpoS"/>
                <w:sz w:val="22"/>
              </w:rPr>
              <w:t>10</w:t>
            </w:r>
            <w:r w:rsidR="002C7132">
              <w:rPr>
                <w:rFonts w:ascii="CorpoS" w:hAnsi="CorpoS"/>
                <w:sz w:val="22"/>
              </w:rPr>
              <w:t>,</w:t>
            </w:r>
            <w:r>
              <w:rPr>
                <w:rFonts w:ascii="CorpoS" w:hAnsi="CorpoS"/>
                <w:sz w:val="22"/>
              </w:rPr>
              <w:t>508</w:t>
            </w:r>
          </w:p>
        </w:tc>
        <w:tc>
          <w:tcPr>
            <w:tcW w:w="1418" w:type="dxa"/>
            <w:tcBorders>
              <w:top w:val="single" w:sz="4" w:space="0" w:color="auto"/>
              <w:bottom w:val="single" w:sz="18" w:space="0" w:color="auto"/>
              <w:right w:val="single" w:sz="18" w:space="0" w:color="auto"/>
            </w:tcBorders>
            <w:shd w:val="clear" w:color="auto" w:fill="auto"/>
            <w:vAlign w:val="center"/>
          </w:tcPr>
          <w:p w14:paraId="3CF09A3A" w14:textId="15975648" w:rsidR="00C07B87" w:rsidRPr="00B4335E" w:rsidRDefault="00C07B87" w:rsidP="00C07B87">
            <w:pPr>
              <w:ind w:firstLineChars="100" w:firstLine="220"/>
              <w:jc w:val="right"/>
              <w:rPr>
                <w:rFonts w:ascii="CorpoS" w:hAnsi="CorpoS" w:cs="Arial"/>
                <w:color w:val="FF0000"/>
                <w:sz w:val="22"/>
                <w:szCs w:val="22"/>
              </w:rPr>
            </w:pPr>
            <w:r>
              <w:rPr>
                <w:rFonts w:ascii="CorpoS" w:hAnsi="CorpoS"/>
                <w:sz w:val="22"/>
              </w:rPr>
              <w:t>+2%</w:t>
            </w:r>
          </w:p>
        </w:tc>
      </w:tr>
    </w:tbl>
    <w:p w14:paraId="497F0DE3" w14:textId="77777777" w:rsidR="00BF6B97" w:rsidRDefault="00BF6B97" w:rsidP="00766743">
      <w:pPr>
        <w:ind w:right="1984"/>
        <w:jc w:val="both"/>
        <w:rPr>
          <w:rFonts w:ascii="CorpoS" w:hAnsi="CorpoS"/>
          <w:b/>
          <w:sz w:val="22"/>
        </w:rPr>
      </w:pPr>
    </w:p>
    <w:p w14:paraId="25089607" w14:textId="77777777" w:rsidR="00BF6B97" w:rsidRDefault="00BF6B97" w:rsidP="00766743">
      <w:pPr>
        <w:ind w:right="1984"/>
        <w:jc w:val="both"/>
        <w:rPr>
          <w:rFonts w:ascii="CorpoS" w:hAnsi="CorpoS"/>
          <w:b/>
          <w:sz w:val="22"/>
        </w:rPr>
      </w:pPr>
    </w:p>
    <w:p w14:paraId="4F1C0B13" w14:textId="77777777" w:rsidR="00BF6B97" w:rsidRDefault="00BF6B97" w:rsidP="00766743">
      <w:pPr>
        <w:ind w:right="1984"/>
        <w:jc w:val="both"/>
        <w:rPr>
          <w:rFonts w:ascii="CorpoS" w:hAnsi="CorpoS"/>
          <w:b/>
          <w:sz w:val="22"/>
        </w:rPr>
      </w:pPr>
    </w:p>
    <w:p w14:paraId="488F6D2A" w14:textId="77777777" w:rsidR="00BF6B97" w:rsidRDefault="00BF6B97" w:rsidP="00766743">
      <w:pPr>
        <w:ind w:right="1984"/>
        <w:jc w:val="both"/>
        <w:rPr>
          <w:rFonts w:ascii="CorpoS" w:hAnsi="CorpoS"/>
          <w:b/>
          <w:sz w:val="22"/>
        </w:rPr>
      </w:pPr>
    </w:p>
    <w:p w14:paraId="73604D7A" w14:textId="01E1A54F" w:rsidR="006D238D" w:rsidRDefault="00B4335E" w:rsidP="00766743">
      <w:pPr>
        <w:ind w:right="1984"/>
        <w:jc w:val="both"/>
        <w:rPr>
          <w:rFonts w:ascii="CorpoS" w:hAnsi="CorpoS"/>
          <w:b/>
          <w:sz w:val="22"/>
          <w:szCs w:val="22"/>
        </w:rPr>
      </w:pPr>
      <w:bookmarkStart w:id="0" w:name="_GoBack"/>
      <w:bookmarkEnd w:id="0"/>
      <w:r>
        <w:rPr>
          <w:rFonts w:ascii="CorpoS" w:hAnsi="CorpoS"/>
          <w:b/>
          <w:sz w:val="22"/>
        </w:rPr>
        <w:lastRenderedPageBreak/>
        <w:t>Outlook for 2022</w:t>
      </w:r>
    </w:p>
    <w:p w14:paraId="50893A8E" w14:textId="77777777" w:rsidR="006D238D" w:rsidRDefault="006D238D" w:rsidP="00766743">
      <w:pPr>
        <w:ind w:right="1984"/>
        <w:jc w:val="both"/>
        <w:rPr>
          <w:rFonts w:ascii="CorpoS" w:hAnsi="CorpoS"/>
          <w:b/>
          <w:sz w:val="22"/>
          <w:szCs w:val="22"/>
          <w:lang w:val="de-DE"/>
        </w:rPr>
      </w:pPr>
    </w:p>
    <w:tbl>
      <w:tblPr>
        <w:tblStyle w:val="Tabellenraster"/>
        <w:tblW w:w="9067" w:type="dxa"/>
        <w:tblLook w:val="04A0" w:firstRow="1" w:lastRow="0" w:firstColumn="1" w:lastColumn="0" w:noHBand="0" w:noVBand="1"/>
      </w:tblPr>
      <w:tblGrid>
        <w:gridCol w:w="3823"/>
        <w:gridCol w:w="5244"/>
      </w:tblGrid>
      <w:tr w:rsidR="00153E54" w:rsidRPr="006868A4" w14:paraId="1751E425" w14:textId="77777777" w:rsidTr="003240A5">
        <w:tc>
          <w:tcPr>
            <w:tcW w:w="3823" w:type="dxa"/>
          </w:tcPr>
          <w:p w14:paraId="3B982F87" w14:textId="77777777" w:rsidR="00153E54" w:rsidRPr="00B079EB" w:rsidRDefault="00153E54" w:rsidP="00766743">
            <w:pPr>
              <w:ind w:right="1984"/>
              <w:jc w:val="both"/>
              <w:rPr>
                <w:rFonts w:ascii="CorpoS" w:hAnsi="CorpoS"/>
                <w:b/>
                <w:sz w:val="22"/>
                <w:szCs w:val="22"/>
              </w:rPr>
            </w:pPr>
            <w:r>
              <w:rPr>
                <w:rFonts w:ascii="CorpoS" w:hAnsi="CorpoS"/>
                <w:b/>
                <w:sz w:val="22"/>
              </w:rPr>
              <w:t>Revenue</w:t>
            </w:r>
          </w:p>
        </w:tc>
        <w:tc>
          <w:tcPr>
            <w:tcW w:w="5244" w:type="dxa"/>
          </w:tcPr>
          <w:p w14:paraId="586434FE" w14:textId="0A161277" w:rsidR="00153E54" w:rsidRPr="009E2757" w:rsidRDefault="009E2757" w:rsidP="00EC6522">
            <w:pPr>
              <w:ind w:right="25"/>
              <w:jc w:val="both"/>
              <w:rPr>
                <w:rFonts w:ascii="CorpoS" w:hAnsi="CorpoS"/>
                <w:color w:val="FF0000"/>
                <w:sz w:val="22"/>
                <w:szCs w:val="22"/>
              </w:rPr>
            </w:pPr>
            <w:r>
              <w:rPr>
                <w:rFonts w:ascii="CorpoS" w:hAnsi="CorpoS"/>
                <w:sz w:val="22"/>
              </w:rPr>
              <w:t>Between €5.2 and €5.4 billion</w:t>
            </w:r>
          </w:p>
        </w:tc>
      </w:tr>
      <w:tr w:rsidR="00153E54" w:rsidRPr="006868A4" w14:paraId="3B5805C8" w14:textId="77777777" w:rsidTr="003240A5">
        <w:tc>
          <w:tcPr>
            <w:tcW w:w="3823" w:type="dxa"/>
          </w:tcPr>
          <w:p w14:paraId="3BAA1A30" w14:textId="77777777" w:rsidR="00153E54" w:rsidRPr="00B079EB" w:rsidRDefault="00153E54" w:rsidP="00153E54">
            <w:pPr>
              <w:ind w:right="30"/>
              <w:jc w:val="both"/>
              <w:rPr>
                <w:rFonts w:ascii="CorpoS" w:hAnsi="CorpoS"/>
                <w:i/>
                <w:sz w:val="22"/>
                <w:szCs w:val="22"/>
              </w:rPr>
            </w:pPr>
            <w:r>
              <w:rPr>
                <w:rFonts w:ascii="CorpoS" w:hAnsi="CorpoS"/>
                <w:i/>
                <w:sz w:val="22"/>
              </w:rPr>
              <w:t>thereof: organic revenue development</w:t>
            </w:r>
          </w:p>
        </w:tc>
        <w:tc>
          <w:tcPr>
            <w:tcW w:w="5244" w:type="dxa"/>
          </w:tcPr>
          <w:p w14:paraId="07BB6681" w14:textId="77777777" w:rsidR="00153E54" w:rsidRPr="009E2757" w:rsidRDefault="00153E54" w:rsidP="00766743">
            <w:pPr>
              <w:ind w:right="1984"/>
              <w:jc w:val="both"/>
              <w:rPr>
                <w:rFonts w:ascii="CorpoS" w:hAnsi="CorpoS"/>
                <w:i/>
                <w:color w:val="FF0000"/>
                <w:sz w:val="22"/>
                <w:szCs w:val="22"/>
                <w:lang w:val="de-DE"/>
              </w:rPr>
            </w:pPr>
          </w:p>
        </w:tc>
      </w:tr>
      <w:tr w:rsidR="00153E54" w:rsidRPr="00830EF7" w14:paraId="37E2C459" w14:textId="77777777" w:rsidTr="003240A5">
        <w:tc>
          <w:tcPr>
            <w:tcW w:w="3823" w:type="dxa"/>
          </w:tcPr>
          <w:p w14:paraId="69C1A02D" w14:textId="65637BB7" w:rsidR="00153E54" w:rsidRPr="00B079EB" w:rsidRDefault="00153E54" w:rsidP="00845B43">
            <w:pPr>
              <w:ind w:right="320"/>
              <w:jc w:val="both"/>
              <w:rPr>
                <w:rFonts w:ascii="CorpoS" w:hAnsi="CorpoS"/>
                <w:i/>
                <w:sz w:val="22"/>
                <w:szCs w:val="22"/>
              </w:rPr>
            </w:pPr>
            <w:r>
              <w:rPr>
                <w:rFonts w:ascii="CorpoS" w:hAnsi="CorpoS"/>
                <w:i/>
                <w:sz w:val="22"/>
              </w:rPr>
              <w:t xml:space="preserve">       </w:t>
            </w:r>
            <w:r w:rsidR="00845B43">
              <w:rPr>
                <w:rFonts w:ascii="CorpoS" w:hAnsi="CorpoS"/>
                <w:i/>
                <w:sz w:val="22"/>
              </w:rPr>
              <w:t>C</w:t>
            </w:r>
            <w:r>
              <w:rPr>
                <w:rFonts w:ascii="CorpoS" w:hAnsi="CorpoS"/>
                <w:i/>
                <w:sz w:val="22"/>
              </w:rPr>
              <w:t xml:space="preserve">ommercial </w:t>
            </w:r>
            <w:r w:rsidR="00845B43">
              <w:rPr>
                <w:rFonts w:ascii="CorpoS" w:hAnsi="CorpoS"/>
                <w:i/>
                <w:sz w:val="22"/>
              </w:rPr>
              <w:t>series</w:t>
            </w:r>
            <w:r>
              <w:rPr>
                <w:rFonts w:ascii="CorpoS" w:hAnsi="CorpoS"/>
                <w:i/>
                <w:sz w:val="22"/>
              </w:rPr>
              <w:t xml:space="preserve"> business</w:t>
            </w:r>
          </w:p>
        </w:tc>
        <w:tc>
          <w:tcPr>
            <w:tcW w:w="5244" w:type="dxa"/>
          </w:tcPr>
          <w:p w14:paraId="442AC560" w14:textId="0888F535" w:rsidR="00153E54" w:rsidRPr="009E2757" w:rsidRDefault="009E2757" w:rsidP="009E2757">
            <w:pPr>
              <w:ind w:right="29"/>
              <w:jc w:val="both"/>
              <w:rPr>
                <w:rFonts w:ascii="CorpoS" w:hAnsi="CorpoS"/>
                <w:i/>
                <w:color w:val="FF0000"/>
                <w:sz w:val="22"/>
                <w:szCs w:val="22"/>
              </w:rPr>
            </w:pPr>
            <w:r>
              <w:rPr>
                <w:rFonts w:ascii="CorpoS" w:hAnsi="CorpoS"/>
                <w:i/>
                <w:sz w:val="22"/>
              </w:rPr>
              <w:t>Increase in the mid to high teens percentage range</w:t>
            </w:r>
          </w:p>
        </w:tc>
      </w:tr>
      <w:tr w:rsidR="00153E54" w:rsidRPr="00830EF7" w14:paraId="23E40ED5" w14:textId="77777777" w:rsidTr="003240A5">
        <w:tc>
          <w:tcPr>
            <w:tcW w:w="3823" w:type="dxa"/>
          </w:tcPr>
          <w:p w14:paraId="11936752" w14:textId="44BA627F" w:rsidR="00153E54" w:rsidRPr="00B079EB" w:rsidRDefault="00153E54" w:rsidP="00153E54">
            <w:pPr>
              <w:ind w:right="34"/>
              <w:jc w:val="both"/>
              <w:rPr>
                <w:rFonts w:ascii="CorpoS" w:hAnsi="CorpoS"/>
                <w:i/>
                <w:sz w:val="22"/>
                <w:szCs w:val="22"/>
              </w:rPr>
            </w:pPr>
            <w:r>
              <w:rPr>
                <w:rFonts w:ascii="CorpoS" w:hAnsi="CorpoS"/>
                <w:i/>
                <w:sz w:val="22"/>
              </w:rPr>
              <w:t xml:space="preserve">       Spare parts business</w:t>
            </w:r>
          </w:p>
        </w:tc>
        <w:tc>
          <w:tcPr>
            <w:tcW w:w="5244" w:type="dxa"/>
          </w:tcPr>
          <w:p w14:paraId="5EEF7839" w14:textId="493F0BF7" w:rsidR="00153E54" w:rsidRPr="009E2757" w:rsidRDefault="009E2757" w:rsidP="00845B43">
            <w:pPr>
              <w:jc w:val="both"/>
              <w:rPr>
                <w:rFonts w:ascii="CorpoS" w:hAnsi="CorpoS"/>
                <w:i/>
                <w:color w:val="FF0000"/>
                <w:sz w:val="22"/>
                <w:szCs w:val="22"/>
              </w:rPr>
            </w:pPr>
            <w:r>
              <w:rPr>
                <w:rFonts w:ascii="CorpoS" w:hAnsi="CorpoS"/>
                <w:i/>
                <w:sz w:val="22"/>
              </w:rPr>
              <w:t>Increase in the mid</w:t>
            </w:r>
            <w:r w:rsidR="00845B43">
              <w:rPr>
                <w:rFonts w:ascii="CorpoS" w:hAnsi="CorpoS"/>
                <w:i/>
                <w:sz w:val="22"/>
              </w:rPr>
              <w:t>-</w:t>
            </w:r>
            <w:r>
              <w:rPr>
                <w:rFonts w:ascii="CorpoS" w:hAnsi="CorpoS"/>
                <w:i/>
                <w:sz w:val="22"/>
              </w:rPr>
              <w:t>teens percentage range</w:t>
            </w:r>
          </w:p>
        </w:tc>
      </w:tr>
      <w:tr w:rsidR="006D6C35" w:rsidRPr="00830EF7" w14:paraId="7A6ACB18" w14:textId="77777777" w:rsidTr="003240A5">
        <w:tc>
          <w:tcPr>
            <w:tcW w:w="3823" w:type="dxa"/>
          </w:tcPr>
          <w:p w14:paraId="561B3D12" w14:textId="77777777" w:rsidR="006D6C35" w:rsidRPr="00B079EB" w:rsidRDefault="006D6C35" w:rsidP="00DF27AE">
            <w:pPr>
              <w:tabs>
                <w:tab w:val="left" w:pos="2443"/>
              </w:tabs>
              <w:ind w:right="314"/>
              <w:jc w:val="both"/>
              <w:rPr>
                <w:rFonts w:ascii="CorpoS" w:hAnsi="CorpoS"/>
                <w:i/>
                <w:sz w:val="22"/>
                <w:szCs w:val="22"/>
              </w:rPr>
            </w:pPr>
            <w:r>
              <w:rPr>
                <w:rFonts w:ascii="CorpoS" w:hAnsi="CorpoS"/>
                <w:i/>
                <w:sz w:val="22"/>
              </w:rPr>
              <w:t xml:space="preserve">       Military business</w:t>
            </w:r>
          </w:p>
        </w:tc>
        <w:tc>
          <w:tcPr>
            <w:tcW w:w="5244" w:type="dxa"/>
          </w:tcPr>
          <w:p w14:paraId="6E02BF1E" w14:textId="77777777" w:rsidR="006D6C35" w:rsidRPr="009E2757" w:rsidRDefault="006D6C35" w:rsidP="00DF27AE">
            <w:pPr>
              <w:ind w:right="452"/>
              <w:jc w:val="both"/>
              <w:rPr>
                <w:rFonts w:ascii="CorpoS" w:hAnsi="CorpoS"/>
                <w:i/>
                <w:color w:val="FF0000"/>
                <w:sz w:val="22"/>
                <w:szCs w:val="22"/>
              </w:rPr>
            </w:pPr>
            <w:r>
              <w:rPr>
                <w:rFonts w:ascii="CorpoS" w:hAnsi="CorpoS"/>
                <w:i/>
                <w:sz w:val="22"/>
              </w:rPr>
              <w:t>Increase in the high single-digit percentage range</w:t>
            </w:r>
          </w:p>
        </w:tc>
      </w:tr>
      <w:tr w:rsidR="00153E54" w:rsidRPr="00830EF7" w14:paraId="030EFBE3" w14:textId="77777777" w:rsidTr="003240A5">
        <w:tc>
          <w:tcPr>
            <w:tcW w:w="3823" w:type="dxa"/>
          </w:tcPr>
          <w:p w14:paraId="7F19B8F9" w14:textId="77777777" w:rsidR="00153E54" w:rsidRPr="00B079EB" w:rsidRDefault="00153E54" w:rsidP="004F027E">
            <w:pPr>
              <w:ind w:right="603"/>
              <w:jc w:val="both"/>
              <w:rPr>
                <w:rFonts w:ascii="CorpoS" w:hAnsi="CorpoS"/>
                <w:i/>
                <w:sz w:val="22"/>
                <w:szCs w:val="22"/>
              </w:rPr>
            </w:pPr>
            <w:r>
              <w:rPr>
                <w:rFonts w:ascii="CorpoS" w:hAnsi="CorpoS"/>
                <w:i/>
                <w:sz w:val="22"/>
              </w:rPr>
              <w:t xml:space="preserve">       Commercial maintenance</w:t>
            </w:r>
          </w:p>
        </w:tc>
        <w:tc>
          <w:tcPr>
            <w:tcW w:w="5244" w:type="dxa"/>
          </w:tcPr>
          <w:p w14:paraId="18DA201F" w14:textId="3BC10D4B" w:rsidR="00153E54" w:rsidRPr="009E2757" w:rsidRDefault="009E2757" w:rsidP="008B5372">
            <w:pPr>
              <w:ind w:right="27"/>
              <w:jc w:val="both"/>
              <w:rPr>
                <w:rFonts w:ascii="CorpoS" w:hAnsi="CorpoS"/>
                <w:i/>
                <w:color w:val="FF0000"/>
                <w:sz w:val="22"/>
                <w:szCs w:val="22"/>
              </w:rPr>
            </w:pPr>
            <w:r>
              <w:rPr>
                <w:rFonts w:ascii="CorpoS" w:hAnsi="CorpoS"/>
                <w:i/>
                <w:sz w:val="22"/>
              </w:rPr>
              <w:t>Increase in the mid to high twenty-percent range</w:t>
            </w:r>
          </w:p>
        </w:tc>
      </w:tr>
      <w:tr w:rsidR="00153E54" w:rsidRPr="00830EF7" w14:paraId="0217FED1" w14:textId="77777777" w:rsidTr="003240A5">
        <w:tc>
          <w:tcPr>
            <w:tcW w:w="3823" w:type="dxa"/>
          </w:tcPr>
          <w:p w14:paraId="70E1F6E6" w14:textId="3F14E9C8" w:rsidR="00153E54" w:rsidRPr="00B079EB" w:rsidRDefault="00153E54" w:rsidP="00A36C48">
            <w:pPr>
              <w:ind w:right="887"/>
              <w:jc w:val="both"/>
              <w:rPr>
                <w:rFonts w:ascii="CorpoS" w:hAnsi="CorpoS"/>
                <w:b/>
                <w:sz w:val="22"/>
                <w:szCs w:val="22"/>
              </w:rPr>
            </w:pPr>
            <w:r>
              <w:rPr>
                <w:rFonts w:ascii="CorpoS" w:hAnsi="CorpoS"/>
                <w:b/>
                <w:sz w:val="22"/>
              </w:rPr>
              <w:t>Adjusted EBIT</w:t>
            </w:r>
          </w:p>
        </w:tc>
        <w:tc>
          <w:tcPr>
            <w:tcW w:w="5244" w:type="dxa"/>
          </w:tcPr>
          <w:p w14:paraId="27C9C1AE" w14:textId="1DD30160" w:rsidR="00153E54" w:rsidRPr="009E2757" w:rsidRDefault="009E2757" w:rsidP="009E2757">
            <w:pPr>
              <w:jc w:val="both"/>
              <w:rPr>
                <w:rFonts w:ascii="CorpoS" w:hAnsi="CorpoS"/>
                <w:color w:val="FF0000"/>
                <w:sz w:val="22"/>
                <w:szCs w:val="22"/>
              </w:rPr>
            </w:pPr>
            <w:r>
              <w:rPr>
                <w:rFonts w:ascii="CorpoS" w:hAnsi="CorpoS"/>
                <w:sz w:val="22"/>
              </w:rPr>
              <w:t>Increase in the mid twenty-percent range</w:t>
            </w:r>
          </w:p>
        </w:tc>
      </w:tr>
      <w:tr w:rsidR="003240A5" w:rsidRPr="00B079EB" w14:paraId="4060E895" w14:textId="77777777" w:rsidTr="003240A5">
        <w:tc>
          <w:tcPr>
            <w:tcW w:w="3823" w:type="dxa"/>
          </w:tcPr>
          <w:p w14:paraId="6ED27815" w14:textId="77777777" w:rsidR="003240A5" w:rsidRPr="00B079EB" w:rsidRDefault="003240A5" w:rsidP="001341E5">
            <w:pPr>
              <w:ind w:right="1170"/>
              <w:jc w:val="both"/>
              <w:rPr>
                <w:rFonts w:ascii="CorpoS" w:hAnsi="CorpoS"/>
                <w:b/>
                <w:sz w:val="22"/>
                <w:szCs w:val="22"/>
              </w:rPr>
            </w:pPr>
            <w:r>
              <w:rPr>
                <w:rFonts w:ascii="CorpoS" w:hAnsi="CorpoS"/>
                <w:b/>
                <w:sz w:val="22"/>
              </w:rPr>
              <w:t>Adjusted net income</w:t>
            </w:r>
          </w:p>
        </w:tc>
        <w:tc>
          <w:tcPr>
            <w:tcW w:w="5244" w:type="dxa"/>
          </w:tcPr>
          <w:p w14:paraId="1B55A9D4" w14:textId="77777777" w:rsidR="003240A5" w:rsidRPr="009E2757" w:rsidRDefault="003240A5" w:rsidP="001341E5">
            <w:pPr>
              <w:jc w:val="both"/>
              <w:rPr>
                <w:rFonts w:ascii="CorpoS" w:hAnsi="CorpoS"/>
                <w:color w:val="FF0000"/>
                <w:sz w:val="22"/>
                <w:szCs w:val="22"/>
              </w:rPr>
            </w:pPr>
            <w:r>
              <w:rPr>
                <w:rFonts w:ascii="CorpoS" w:hAnsi="CorpoS"/>
                <w:sz w:val="22"/>
              </w:rPr>
              <w:t>Development in line with adjusted EBIT</w:t>
            </w:r>
          </w:p>
        </w:tc>
      </w:tr>
      <w:tr w:rsidR="003240A5" w:rsidRPr="00AA4B1E" w14:paraId="4A910997" w14:textId="77777777" w:rsidTr="003240A5">
        <w:tc>
          <w:tcPr>
            <w:tcW w:w="3823" w:type="dxa"/>
          </w:tcPr>
          <w:p w14:paraId="4FDE6283" w14:textId="77777777" w:rsidR="003240A5" w:rsidRPr="00B079EB" w:rsidRDefault="003240A5" w:rsidP="001341E5">
            <w:pPr>
              <w:ind w:right="887"/>
              <w:jc w:val="both"/>
              <w:rPr>
                <w:rFonts w:ascii="CorpoS" w:hAnsi="CorpoS"/>
                <w:b/>
                <w:sz w:val="22"/>
                <w:szCs w:val="22"/>
              </w:rPr>
            </w:pPr>
            <w:r>
              <w:rPr>
                <w:rFonts w:ascii="CorpoS" w:hAnsi="CorpoS"/>
                <w:b/>
                <w:sz w:val="22"/>
              </w:rPr>
              <w:t>Cash conversion rate</w:t>
            </w:r>
          </w:p>
        </w:tc>
        <w:tc>
          <w:tcPr>
            <w:tcW w:w="5244" w:type="dxa"/>
          </w:tcPr>
          <w:p w14:paraId="2176185A" w14:textId="221E3D43" w:rsidR="003240A5" w:rsidRPr="002756EB" w:rsidRDefault="003240A5" w:rsidP="001341E5">
            <w:pPr>
              <w:jc w:val="both"/>
              <w:rPr>
                <w:rFonts w:ascii="CorpoS" w:hAnsi="CorpoS"/>
                <w:sz w:val="22"/>
                <w:szCs w:val="22"/>
              </w:rPr>
            </w:pPr>
            <w:r>
              <w:rPr>
                <w:rFonts w:ascii="CorpoS" w:hAnsi="CorpoS"/>
                <w:sz w:val="22"/>
              </w:rPr>
              <w:t>Mid to high double-digit percentage range</w:t>
            </w:r>
          </w:p>
        </w:tc>
      </w:tr>
    </w:tbl>
    <w:p w14:paraId="0435F74B" w14:textId="223F82A0" w:rsidR="006D238D" w:rsidRPr="00F8268F" w:rsidRDefault="006D238D" w:rsidP="00766743">
      <w:pPr>
        <w:ind w:right="1984"/>
        <w:jc w:val="both"/>
        <w:rPr>
          <w:rFonts w:ascii="CorpoS" w:hAnsi="CorpoS"/>
          <w:b/>
          <w:sz w:val="22"/>
          <w:szCs w:val="22"/>
        </w:rPr>
      </w:pPr>
    </w:p>
    <w:p w14:paraId="7982ED38" w14:textId="77777777" w:rsidR="009E2757" w:rsidRPr="00F8268F" w:rsidRDefault="009E2757" w:rsidP="00766743">
      <w:pPr>
        <w:ind w:right="1984"/>
        <w:jc w:val="both"/>
        <w:rPr>
          <w:rFonts w:ascii="CorpoS" w:hAnsi="CorpoS"/>
          <w:b/>
          <w:sz w:val="22"/>
          <w:szCs w:val="22"/>
        </w:rPr>
      </w:pPr>
    </w:p>
    <w:p w14:paraId="255CA534" w14:textId="77777777" w:rsidR="006D238D" w:rsidRPr="00F8268F" w:rsidRDefault="006D238D" w:rsidP="00766743">
      <w:pPr>
        <w:ind w:right="1984"/>
        <w:jc w:val="both"/>
        <w:rPr>
          <w:rFonts w:ascii="CorpoS" w:hAnsi="CorpoS"/>
          <w:b/>
          <w:sz w:val="22"/>
          <w:szCs w:val="22"/>
        </w:rPr>
      </w:pPr>
    </w:p>
    <w:p w14:paraId="10552A3F" w14:textId="77777777" w:rsidR="00B4335E" w:rsidRDefault="00B4335E" w:rsidP="00B4335E">
      <w:pPr>
        <w:ind w:right="1984"/>
        <w:jc w:val="both"/>
        <w:rPr>
          <w:rFonts w:ascii="CorpoS" w:hAnsi="CorpoS"/>
          <w:b/>
          <w:sz w:val="20"/>
          <w:u w:val="single"/>
        </w:rPr>
      </w:pPr>
      <w:r>
        <w:rPr>
          <w:rFonts w:ascii="CorpoS" w:hAnsi="CorpoS"/>
          <w:b/>
          <w:sz w:val="20"/>
          <w:u w:val="single"/>
        </w:rPr>
        <w:t>About MTU Aero Engines</w:t>
      </w:r>
    </w:p>
    <w:p w14:paraId="2E427294" w14:textId="77777777" w:rsidR="00B4335E" w:rsidRPr="007425D1" w:rsidRDefault="00B4335E" w:rsidP="00B4335E">
      <w:pPr>
        <w:ind w:right="424"/>
        <w:jc w:val="both"/>
        <w:rPr>
          <w:rFonts w:ascii="CorpoS" w:hAnsi="CorpoS"/>
          <w:sz w:val="20"/>
        </w:rPr>
      </w:pPr>
      <w:r>
        <w:rPr>
          <w:rFonts w:ascii="CorpoS" w:hAnsi="CorpoS"/>
          <w:sz w:val="20"/>
        </w:rPr>
        <w:t>MTU Aero Engines is Germany’s leading engine manufacturer. The company is a technological leader in low-pressure turbines, high-pressure compressors, turbine center frames as well as manufacturing processes and repair techniques. In the commercial OEM business, the company plays a key role in the development, manufacturing and marketing of high-tech components together with international partners. Some 30 percent of today’s active aircraft in service worldwide have MTU components on board. In the commercial maintenance sector the company ranks among the top 3 service providers for commercial aircraft engines and industrial gas turbines. The activities are combined under the roof of MTU Maintenance. In the military arena, MTU Aero Engines is Germany’s industrial lead company for practically all engines operated by the country’s military. MTU operates a network of locations around the globe; Munich is home to its corporate headquarters.</w:t>
      </w:r>
    </w:p>
    <w:p w14:paraId="46325A60" w14:textId="77777777" w:rsidR="00B4335E" w:rsidRPr="00F8268F" w:rsidRDefault="00B4335E" w:rsidP="00B4335E">
      <w:pPr>
        <w:ind w:right="424"/>
        <w:jc w:val="both"/>
        <w:rPr>
          <w:rFonts w:ascii="CorpoS" w:hAnsi="CorpoS" w:cs="Arial"/>
          <w:sz w:val="20"/>
        </w:rPr>
      </w:pPr>
    </w:p>
    <w:p w14:paraId="14C20113" w14:textId="77777777" w:rsidR="00B4335E" w:rsidRPr="00F8268F" w:rsidRDefault="00B4335E" w:rsidP="00B4335E">
      <w:pPr>
        <w:ind w:right="424"/>
        <w:jc w:val="both"/>
        <w:rPr>
          <w:rFonts w:ascii="CorpoS" w:hAnsi="CorpoS" w:cs="Arial"/>
          <w:sz w:val="20"/>
        </w:rPr>
      </w:pPr>
    </w:p>
    <w:p w14:paraId="71AFF477" w14:textId="77777777" w:rsidR="00B4335E" w:rsidRPr="006166B4" w:rsidRDefault="00B4335E" w:rsidP="00B4335E">
      <w:pPr>
        <w:rPr>
          <w:rFonts w:ascii="CorpoS" w:hAnsi="CorpoS"/>
          <w:sz w:val="20"/>
          <w:u w:val="single"/>
        </w:rPr>
      </w:pPr>
      <w:r>
        <w:rPr>
          <w:rFonts w:ascii="CorpoS" w:hAnsi="CorpoS"/>
          <w:sz w:val="20"/>
          <w:u w:val="single"/>
        </w:rPr>
        <w:t>Your contacts:</w:t>
      </w:r>
    </w:p>
    <w:p w14:paraId="06426CC6" w14:textId="77777777" w:rsidR="00B4335E" w:rsidRPr="006166B4" w:rsidRDefault="00B4335E" w:rsidP="00B4335E">
      <w:pPr>
        <w:rPr>
          <w:rFonts w:ascii="CorpoS" w:hAnsi="CorpoS"/>
          <w:sz w:val="20"/>
        </w:rPr>
      </w:pPr>
      <w:r>
        <w:rPr>
          <w:rFonts w:ascii="CorpoS" w:hAnsi="CorpoS"/>
          <w:sz w:val="20"/>
        </w:rPr>
        <w:t xml:space="preserve">Eckhard </w:t>
      </w:r>
      <w:proofErr w:type="spellStart"/>
      <w:r>
        <w:rPr>
          <w:rFonts w:ascii="CorpoS" w:hAnsi="CorpoS"/>
          <w:sz w:val="20"/>
        </w:rPr>
        <w:t>Zanger</w:t>
      </w:r>
      <w:proofErr w:type="spellEnd"/>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r>
      <w:r>
        <w:rPr>
          <w:rFonts w:ascii="CorpoS" w:hAnsi="CorpoS"/>
          <w:sz w:val="20"/>
        </w:rPr>
        <w:tab/>
        <w:t>Eva Simon</w:t>
      </w:r>
    </w:p>
    <w:p w14:paraId="3D539F01" w14:textId="77777777" w:rsidR="00B4335E" w:rsidRPr="006166B4" w:rsidRDefault="00B4335E" w:rsidP="00B4335E">
      <w:pPr>
        <w:rPr>
          <w:rFonts w:ascii="CorpoS" w:hAnsi="CorpoS"/>
          <w:sz w:val="20"/>
        </w:rPr>
      </w:pPr>
      <w:r>
        <w:rPr>
          <w:rFonts w:ascii="CorpoS" w:hAnsi="CorpoS"/>
          <w:sz w:val="20"/>
        </w:rPr>
        <w:t>Senior Vice President Corporate Communications</w:t>
      </w:r>
      <w:r>
        <w:rPr>
          <w:rFonts w:ascii="CorpoS" w:hAnsi="CorpoS"/>
          <w:sz w:val="20"/>
        </w:rPr>
        <w:tab/>
      </w:r>
      <w:r>
        <w:rPr>
          <w:rFonts w:ascii="CorpoS" w:hAnsi="CorpoS"/>
          <w:sz w:val="20"/>
        </w:rPr>
        <w:tab/>
        <w:t>Press Officer Finance</w:t>
      </w:r>
    </w:p>
    <w:p w14:paraId="4C07B03F" w14:textId="77777777" w:rsidR="00B4335E" w:rsidRPr="00E942B3" w:rsidRDefault="00B4335E" w:rsidP="00B4335E">
      <w:pPr>
        <w:rPr>
          <w:rFonts w:ascii="CorpoS" w:hAnsi="CorpoS"/>
          <w:sz w:val="20"/>
        </w:rPr>
      </w:pPr>
      <w:r>
        <w:rPr>
          <w:rFonts w:ascii="CorpoS" w:hAnsi="CorpoS"/>
          <w:sz w:val="20"/>
        </w:rPr>
        <w:t xml:space="preserve">and Public Affairs </w:t>
      </w:r>
      <w:r>
        <w:rPr>
          <w:rFonts w:ascii="CorpoS" w:hAnsi="CorpoS"/>
          <w:sz w:val="20"/>
        </w:rPr>
        <w:tab/>
      </w:r>
    </w:p>
    <w:p w14:paraId="5E013448" w14:textId="77777777" w:rsidR="00B4335E" w:rsidRPr="00E942B3" w:rsidRDefault="00B4335E" w:rsidP="00B4335E">
      <w:pPr>
        <w:rPr>
          <w:rFonts w:ascii="CorpoS" w:hAnsi="CorpoS"/>
          <w:sz w:val="20"/>
        </w:rPr>
      </w:pPr>
      <w:r>
        <w:rPr>
          <w:rFonts w:ascii="CorpoS" w:hAnsi="CorpoS"/>
          <w:sz w:val="20"/>
        </w:rPr>
        <w:t>Phone: + 49 (0)89 14 89-91 13</w:t>
      </w:r>
      <w:r>
        <w:rPr>
          <w:rFonts w:ascii="CorpoS" w:hAnsi="CorpoS"/>
          <w:sz w:val="20"/>
        </w:rPr>
        <w:tab/>
      </w:r>
      <w:r>
        <w:rPr>
          <w:rFonts w:ascii="CorpoS" w:hAnsi="CorpoS"/>
          <w:sz w:val="20"/>
        </w:rPr>
        <w:tab/>
      </w:r>
      <w:r>
        <w:rPr>
          <w:rFonts w:ascii="CorpoS" w:hAnsi="CorpoS"/>
          <w:sz w:val="20"/>
        </w:rPr>
        <w:tab/>
      </w:r>
      <w:r>
        <w:rPr>
          <w:rFonts w:ascii="CorpoS" w:hAnsi="CorpoS"/>
          <w:sz w:val="20"/>
        </w:rPr>
        <w:tab/>
        <w:t>Phone: +49 (0)89 14 89-43 32</w:t>
      </w:r>
      <w:r>
        <w:rPr>
          <w:rFonts w:ascii="CorpoS" w:hAnsi="CorpoS"/>
          <w:sz w:val="20"/>
        </w:rPr>
        <w:tab/>
      </w:r>
    </w:p>
    <w:p w14:paraId="6F3F8E5D" w14:textId="77777777" w:rsidR="00B4335E" w:rsidRPr="00F8268F" w:rsidRDefault="00B4335E" w:rsidP="00B4335E">
      <w:pPr>
        <w:rPr>
          <w:rFonts w:ascii="CorpoS" w:hAnsi="CorpoS"/>
          <w:sz w:val="20"/>
          <w:lang w:val="fr-FR"/>
        </w:rPr>
      </w:pPr>
      <w:r w:rsidRPr="00F8268F">
        <w:rPr>
          <w:rFonts w:ascii="CorpoS" w:hAnsi="CorpoS"/>
          <w:sz w:val="20"/>
          <w:lang w:val="fr-FR"/>
        </w:rPr>
        <w:t>Mobile: + 49 (0) 176-1000 6158</w:t>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t>Mobile: +49 (0) 176-1008 4162</w:t>
      </w:r>
    </w:p>
    <w:p w14:paraId="74456850" w14:textId="77777777" w:rsidR="00B4335E" w:rsidRPr="00F8268F" w:rsidRDefault="00B4335E" w:rsidP="00B4335E">
      <w:pPr>
        <w:rPr>
          <w:rFonts w:ascii="CorpoS" w:hAnsi="CorpoS"/>
          <w:sz w:val="20"/>
          <w:lang w:val="fr-FR"/>
        </w:rPr>
      </w:pPr>
      <w:r w:rsidRPr="00F8268F">
        <w:rPr>
          <w:rFonts w:ascii="CorpoS" w:hAnsi="CorpoS"/>
          <w:sz w:val="20"/>
          <w:lang w:val="fr-FR"/>
        </w:rPr>
        <w:t xml:space="preserve">Email: Eckhard.Zanger@mtu.de  </w:t>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r>
      <w:r w:rsidRPr="00F8268F">
        <w:rPr>
          <w:rFonts w:ascii="CorpoS" w:hAnsi="CorpoS"/>
          <w:sz w:val="20"/>
          <w:lang w:val="fr-FR"/>
        </w:rPr>
        <w:tab/>
        <w:t>Email: Eva.Simon@mtu.de</w:t>
      </w:r>
    </w:p>
    <w:p w14:paraId="25BFBFDF" w14:textId="77777777" w:rsidR="00B4335E" w:rsidRPr="00F8268F" w:rsidRDefault="00B4335E" w:rsidP="00B4335E">
      <w:pPr>
        <w:rPr>
          <w:rFonts w:ascii="CorpoS" w:hAnsi="CorpoS"/>
          <w:szCs w:val="24"/>
          <w:u w:val="single"/>
          <w:lang w:val="fr-FR"/>
        </w:rPr>
      </w:pPr>
    </w:p>
    <w:p w14:paraId="48309CC3" w14:textId="77777777" w:rsidR="00B4335E" w:rsidRPr="006166B4" w:rsidRDefault="00B4335E" w:rsidP="00B4335E">
      <w:pPr>
        <w:pStyle w:val="MTUBodycopy"/>
        <w:tabs>
          <w:tab w:val="left" w:pos="8505"/>
        </w:tabs>
        <w:ind w:right="1984"/>
        <w:jc w:val="both"/>
        <w:rPr>
          <w:i/>
        </w:rPr>
      </w:pPr>
      <w:r>
        <w:rPr>
          <w:i/>
        </w:rPr>
        <w:t xml:space="preserve">All press releases and images are available at </w:t>
      </w:r>
      <w:hyperlink r:id="rId8" w:history="1">
        <w:r>
          <w:rPr>
            <w:rStyle w:val="Hyperlink"/>
            <w:i/>
            <w:color w:val="auto"/>
          </w:rPr>
          <w:t>http://www.mtu.de</w:t>
        </w:r>
      </w:hyperlink>
    </w:p>
    <w:p w14:paraId="0BFABB03" w14:textId="77777777" w:rsidR="00B4335E" w:rsidRPr="00F8268F" w:rsidRDefault="00B4335E" w:rsidP="00B4335E">
      <w:pPr>
        <w:pStyle w:val="MTUBodycopy"/>
        <w:tabs>
          <w:tab w:val="left" w:pos="8505"/>
        </w:tabs>
        <w:ind w:right="1984"/>
        <w:jc w:val="both"/>
        <w:rPr>
          <w:i/>
        </w:rPr>
      </w:pPr>
    </w:p>
    <w:p w14:paraId="2CE51139" w14:textId="77777777" w:rsidR="00B4335E" w:rsidRPr="006166B4" w:rsidRDefault="00B4335E" w:rsidP="00B4335E">
      <w:pPr>
        <w:rPr>
          <w:rStyle w:val="h41"/>
          <w:rFonts w:ascii="CorpoS" w:hAnsi="CorpoS"/>
          <w:color w:val="auto"/>
          <w:sz w:val="16"/>
          <w:szCs w:val="16"/>
        </w:rPr>
      </w:pPr>
      <w:r>
        <w:rPr>
          <w:rStyle w:val="h41"/>
          <w:rFonts w:ascii="CorpoS" w:hAnsi="CorpoS"/>
          <w:color w:val="auto"/>
          <w:sz w:val="16"/>
        </w:rPr>
        <w:t>Cautionary note regarding forward-looking statements</w:t>
      </w:r>
    </w:p>
    <w:p w14:paraId="6AD274D9" w14:textId="77777777" w:rsidR="00B4335E" w:rsidRPr="00F8268F" w:rsidRDefault="00B4335E" w:rsidP="00B4335E">
      <w:pPr>
        <w:rPr>
          <w:rFonts w:ascii="CorpoS" w:hAnsi="CorpoS"/>
          <w:sz w:val="16"/>
          <w:szCs w:val="16"/>
        </w:rPr>
      </w:pPr>
    </w:p>
    <w:p w14:paraId="46FB6952" w14:textId="10A5D1A6" w:rsidR="00DD64E9" w:rsidRPr="00C51A14" w:rsidRDefault="00B4335E" w:rsidP="00B4335E">
      <w:pPr>
        <w:ind w:right="283"/>
        <w:jc w:val="both"/>
        <w:rPr>
          <w:rFonts w:ascii="CorpoS" w:hAnsi="CorpoS"/>
          <w:b/>
          <w:sz w:val="22"/>
          <w:szCs w:val="22"/>
        </w:rPr>
      </w:pPr>
      <w:r>
        <w:rPr>
          <w:rFonts w:ascii="CorpoS" w:hAnsi="CorpoS"/>
          <w:sz w:val="16"/>
        </w:rPr>
        <w:t>Certain of the statements contained herein may be statements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competition from other companies in MTU Aero Engines’ industry and MTU Aero Engines’ ability to retain or increase its market share, the cyclicality of the airline industry, risks related to MTU Aero Engines’ participation in consortia and risk and revenue sharing agreements for new aero engine programs, risks associated with the capital markets, currency exchange rate fluctuations, regulations affecting MTU Aero Engines’ business and MTU Aero Engines’ ability to respond to changes in the regulatory environment, and other factors. Many of these factors may be more likely to occur, or more pronounced, as a result of terrorist activities and their consequences. MTU Aero Engines assumes no obligation to update any forward-looking statement.</w:t>
      </w:r>
    </w:p>
    <w:sectPr w:rsidR="00DD64E9" w:rsidRPr="00C51A14" w:rsidSect="00694A29">
      <w:headerReference w:type="default" r:id="rId9"/>
      <w:footerReference w:type="default" r:id="rId10"/>
      <w:headerReference w:type="first" r:id="rId11"/>
      <w:footerReference w:type="first" r:id="rId12"/>
      <w:type w:val="continuous"/>
      <w:pgSz w:w="11907" w:h="16840" w:code="9"/>
      <w:pgMar w:top="2663" w:right="1134" w:bottom="2268"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BC06CB" w14:textId="77777777" w:rsidR="00194860" w:rsidRDefault="00194860">
      <w:r>
        <w:separator/>
      </w:r>
    </w:p>
  </w:endnote>
  <w:endnote w:type="continuationSeparator" w:id="0">
    <w:p w14:paraId="3F0EB6DC" w14:textId="77777777" w:rsidR="00194860" w:rsidRDefault="00194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5FCC4" w14:textId="77777777" w:rsidR="005B384E" w:rsidRDefault="005B384E">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78E6" w14:textId="77777777" w:rsidR="005B384E" w:rsidRDefault="005B384E">
    <w:pPr>
      <w:pStyle w:val="Fuzeile"/>
      <w:spacing w:line="160" w:lineRule="exact"/>
      <w:rPr>
        <w:rFonts w:ascii="CorpoS" w:hAnsi="CorpoS"/>
        <w:color w:val="000000"/>
        <w:sz w:val="15"/>
      </w:rPr>
    </w:pPr>
    <w:r>
      <w:rPr>
        <w:rFonts w:ascii="CorpoS" w:hAnsi="CorpoS"/>
        <w:color w:val="000000"/>
        <w:sz w:val="15"/>
      </w:rPr>
      <w:t>MTU Aero Engines AG</w:t>
    </w:r>
  </w:p>
  <w:p w14:paraId="59D0BFA8" w14:textId="77777777" w:rsidR="005B384E" w:rsidRDefault="005B384E">
    <w:pPr>
      <w:pStyle w:val="Fuzeile"/>
      <w:spacing w:line="160" w:lineRule="exact"/>
      <w:rPr>
        <w:rFonts w:ascii="CorpoS" w:hAnsi="CorpoS"/>
        <w:color w:val="000000"/>
        <w:sz w:val="15"/>
      </w:rPr>
    </w:pPr>
    <w:r>
      <w:rPr>
        <w:rFonts w:ascii="CorpoS" w:hAnsi="CorpoS"/>
        <w:color w:val="000000"/>
        <w:sz w:val="15"/>
      </w:rPr>
      <w:t>Corporate Communications</w:t>
    </w:r>
  </w:p>
  <w:p w14:paraId="38558166" w14:textId="77777777" w:rsidR="005B384E" w:rsidRPr="00150467" w:rsidRDefault="005B384E">
    <w:pPr>
      <w:pStyle w:val="Fuzeile"/>
      <w:spacing w:line="160" w:lineRule="exact"/>
      <w:rPr>
        <w:rFonts w:ascii="CorpoS" w:hAnsi="CorpoS"/>
        <w:color w:val="000000"/>
        <w:sz w:val="15"/>
      </w:rPr>
    </w:pPr>
    <w:r>
      <w:rPr>
        <w:rFonts w:ascii="CorpoS" w:hAnsi="CorpoS"/>
        <w:color w:val="000000"/>
        <w:sz w:val="15"/>
      </w:rPr>
      <w:t>and Public Affairs</w:t>
    </w:r>
  </w:p>
  <w:p w14:paraId="4351F913" w14:textId="77777777" w:rsidR="005B384E" w:rsidRPr="009C61B2" w:rsidRDefault="005B384E">
    <w:pPr>
      <w:pStyle w:val="Fuzeile"/>
      <w:spacing w:line="160" w:lineRule="exact"/>
      <w:rPr>
        <w:rFonts w:ascii="CorpoS" w:hAnsi="CorpoS"/>
        <w:color w:val="000000"/>
        <w:sz w:val="15"/>
      </w:rPr>
    </w:pPr>
    <w:r w:rsidRPr="009C61B2">
      <w:rPr>
        <w:rFonts w:ascii="CorpoS" w:hAnsi="CorpoS"/>
        <w:color w:val="000000"/>
        <w:sz w:val="15"/>
      </w:rPr>
      <w:t>Dachauer Strasse 665</w:t>
    </w:r>
  </w:p>
  <w:p w14:paraId="3ACD31A2" w14:textId="77777777" w:rsidR="005B384E" w:rsidRPr="009C61B2" w:rsidRDefault="005B384E">
    <w:pPr>
      <w:pStyle w:val="Fuzeile"/>
      <w:spacing w:line="160" w:lineRule="exact"/>
      <w:rPr>
        <w:rFonts w:ascii="CorpoS" w:hAnsi="CorpoS"/>
        <w:color w:val="000000"/>
        <w:sz w:val="15"/>
      </w:rPr>
    </w:pPr>
    <w:r w:rsidRPr="009C61B2">
      <w:rPr>
        <w:rFonts w:ascii="CorpoS" w:hAnsi="CorpoS"/>
        <w:color w:val="000000"/>
        <w:sz w:val="15"/>
      </w:rPr>
      <w:t>80995 Munich • Germany</w:t>
    </w:r>
  </w:p>
  <w:p w14:paraId="6CF5E49F" w14:textId="77777777" w:rsidR="005B384E" w:rsidRPr="009C61B2" w:rsidRDefault="005B384E">
    <w:pPr>
      <w:pStyle w:val="Fuzeile"/>
      <w:tabs>
        <w:tab w:val="clear" w:pos="4320"/>
        <w:tab w:val="clear" w:pos="8640"/>
        <w:tab w:val="left" w:pos="369"/>
      </w:tabs>
      <w:spacing w:line="160" w:lineRule="exact"/>
      <w:rPr>
        <w:rFonts w:ascii="CorpoS" w:hAnsi="CorpoS"/>
        <w:color w:val="000000"/>
        <w:sz w:val="15"/>
      </w:rPr>
    </w:pPr>
    <w:r w:rsidRPr="009C61B2">
      <w:rPr>
        <w:rFonts w:ascii="CorpoS" w:hAnsi="CorpoS"/>
        <w:color w:val="000000"/>
        <w:sz w:val="15"/>
      </w:rPr>
      <w:t>Phone</w:t>
    </w:r>
    <w:r w:rsidRPr="009C61B2">
      <w:rPr>
        <w:rFonts w:ascii="CorpoS" w:hAnsi="CorpoS"/>
        <w:color w:val="000000"/>
        <w:sz w:val="15"/>
      </w:rPr>
      <w:tab/>
      <w:t>+49 (0)89 14 89-26 98</w:t>
    </w:r>
  </w:p>
  <w:p w14:paraId="3050A09F" w14:textId="77777777" w:rsidR="005B384E" w:rsidRDefault="005B384E">
    <w:pPr>
      <w:pStyle w:val="Fuzeile"/>
      <w:tabs>
        <w:tab w:val="clear" w:pos="4320"/>
        <w:tab w:val="clear" w:pos="8640"/>
        <w:tab w:val="left" w:pos="369"/>
      </w:tabs>
      <w:spacing w:line="160" w:lineRule="exact"/>
      <w:rPr>
        <w:rFonts w:ascii="CorpoS" w:hAnsi="CorpoS"/>
        <w:color w:val="000000"/>
        <w:sz w:val="15"/>
      </w:rPr>
    </w:pPr>
    <w:r>
      <w:rPr>
        <w:rFonts w:ascii="CorpoS" w:hAnsi="CorpoS"/>
        <w:color w:val="000000"/>
        <w:sz w:val="15"/>
      </w:rPr>
      <w:t>Fax</w:t>
    </w:r>
    <w:r>
      <w:rPr>
        <w:rFonts w:ascii="CorpoS" w:hAnsi="CorpoS"/>
        <w:color w:val="000000"/>
        <w:sz w:val="15"/>
      </w:rPr>
      <w:tab/>
      <w:t>+49 (0)89 14 89-87 57</w:t>
    </w:r>
  </w:p>
  <w:p w14:paraId="202ECD27" w14:textId="77777777" w:rsidR="005B384E" w:rsidRDefault="005B384E">
    <w:pPr>
      <w:pStyle w:val="Fuzeile"/>
    </w:pPr>
    <w:r>
      <w:rPr>
        <w:rFonts w:ascii="CorpoS" w:hAnsi="CorpoS"/>
        <w:color w:val="000000"/>
        <w:sz w:val="15"/>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33C01" w14:textId="77777777" w:rsidR="00194860" w:rsidRDefault="00194860">
      <w:r>
        <w:separator/>
      </w:r>
    </w:p>
  </w:footnote>
  <w:footnote w:type="continuationSeparator" w:id="0">
    <w:p w14:paraId="3939D9BA" w14:textId="77777777" w:rsidR="00194860" w:rsidRDefault="00194860">
      <w:r>
        <w:continuationSeparator/>
      </w:r>
    </w:p>
  </w:footnote>
  <w:footnote w:id="1">
    <w:p w14:paraId="6CA94A8C" w14:textId="77777777" w:rsidR="005B384E" w:rsidRDefault="005B384E" w:rsidP="00AA674D">
      <w:pPr>
        <w:pStyle w:val="Funotentext"/>
        <w:rPr>
          <w:rFonts w:ascii="CorpoS" w:hAnsi="CorpoS"/>
          <w:b/>
          <w:sz w:val="16"/>
          <w:szCs w:val="16"/>
        </w:rPr>
      </w:pPr>
      <w:r>
        <w:rPr>
          <w:rStyle w:val="Funotenzeichen"/>
          <w:rFonts w:ascii="CorpoS" w:hAnsi="CorpoS"/>
          <w:b/>
          <w:sz w:val="16"/>
          <w:szCs w:val="16"/>
        </w:rPr>
        <w:footnoteRef/>
      </w:r>
      <w:r>
        <w:rPr>
          <w:rFonts w:ascii="CorpoS" w:hAnsi="CorpoS"/>
          <w:b/>
          <w:sz w:val="16"/>
        </w:rPr>
        <w:t xml:space="preserve"> Adjusted EBIT =</w:t>
      </w:r>
      <w:r>
        <w:rPr>
          <w:rFonts w:ascii="CorpoS" w:hAnsi="CorpoS"/>
          <w:b/>
          <w:sz w:val="22"/>
        </w:rPr>
        <w:t xml:space="preserve"> </w:t>
      </w:r>
      <w:r>
        <w:rPr>
          <w:rFonts w:ascii="CorpoS" w:hAnsi="CorpoS"/>
          <w:b/>
          <w:sz w:val="16"/>
        </w:rPr>
        <w:t>earnings before interest and taxes calculated on a comparable basis</w:t>
      </w:r>
    </w:p>
  </w:footnote>
  <w:footnote w:id="2">
    <w:p w14:paraId="359DE00F" w14:textId="77777777" w:rsidR="005B384E" w:rsidRPr="00135B9B" w:rsidRDefault="005B384E" w:rsidP="009D65F9">
      <w:pPr>
        <w:pStyle w:val="Funotentext"/>
        <w:rPr>
          <w:rFonts w:ascii="CorpoS" w:hAnsi="CorpoS"/>
          <w:b/>
          <w:sz w:val="16"/>
          <w:szCs w:val="16"/>
        </w:rPr>
      </w:pPr>
      <w:r>
        <w:rPr>
          <w:rStyle w:val="Funotenzeichen"/>
          <w:rFonts w:ascii="CorpoS" w:hAnsi="CorpoS"/>
          <w:b/>
          <w:sz w:val="16"/>
          <w:szCs w:val="16"/>
        </w:rPr>
        <w:footnoteRef/>
      </w:r>
      <w:r>
        <w:t xml:space="preserve"> </w:t>
      </w:r>
      <w:r>
        <w:rPr>
          <w:rFonts w:ascii="CorpoS" w:hAnsi="CorpoS"/>
          <w:b/>
          <w:sz w:val="16"/>
        </w:rPr>
        <w:t>Adjusted net income = income after income taxes calculated on a comparable basis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3590" w14:textId="77777777" w:rsidR="005B384E" w:rsidRDefault="005B384E">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21DBAE65" wp14:editId="03BE135D">
          <wp:simplePos x="0" y="0"/>
          <wp:positionH relativeFrom="column">
            <wp:posOffset>0</wp:posOffset>
          </wp:positionH>
          <wp:positionV relativeFrom="paragraph">
            <wp:posOffset>6985</wp:posOffset>
          </wp:positionV>
          <wp:extent cx="1616710" cy="789940"/>
          <wp:effectExtent l="0" t="0" r="2540" b="0"/>
          <wp:wrapNone/>
          <wp:docPr id="15"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8CDC5" w14:textId="77777777" w:rsidR="005B384E" w:rsidRPr="00A775D8" w:rsidRDefault="005B384E" w:rsidP="00A775D8">
    <w:pPr>
      <w:pStyle w:val="Kopfzeile"/>
      <w:rPr>
        <w:sz w:val="2"/>
      </w:rPr>
    </w:pPr>
    <w:r>
      <w:rPr>
        <w:noProof/>
        <w:sz w:val="20"/>
        <w:lang w:val="de-DE" w:eastAsia="zh-CN"/>
      </w:rPr>
      <w:drawing>
        <wp:anchor distT="0" distB="0" distL="114300" distR="114300" simplePos="0" relativeHeight="251658240" behindDoc="0" locked="0" layoutInCell="1" allowOverlap="1" wp14:anchorId="2DF992E1" wp14:editId="5A848F23">
          <wp:simplePos x="0" y="0"/>
          <wp:positionH relativeFrom="column">
            <wp:posOffset>0</wp:posOffset>
          </wp:positionH>
          <wp:positionV relativeFrom="paragraph">
            <wp:posOffset>6985</wp:posOffset>
          </wp:positionV>
          <wp:extent cx="1630680" cy="792480"/>
          <wp:effectExtent l="0" t="0" r="7620" b="7620"/>
          <wp:wrapNone/>
          <wp:docPr id="12"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EADF87" w14:textId="77777777" w:rsidR="005B384E" w:rsidRPr="00507889" w:rsidRDefault="005B384E" w:rsidP="00354BD1">
    <w:pPr>
      <w:pStyle w:val="Kopfzeile"/>
      <w:tabs>
        <w:tab w:val="clear" w:pos="4320"/>
        <w:tab w:val="clear" w:pos="8640"/>
        <w:tab w:val="left" w:pos="6521"/>
        <w:tab w:val="left" w:pos="6964"/>
      </w:tabs>
      <w:rPr>
        <w:b/>
        <w:i/>
        <w:sz w:val="28"/>
      </w:rPr>
    </w:pPr>
    <w:r>
      <w:rPr>
        <w:noProof/>
        <w:lang w:val="de-DE" w:eastAsia="zh-CN"/>
      </w:rPr>
      <mc:AlternateContent>
        <mc:Choice Requires="wps">
          <w:drawing>
            <wp:anchor distT="0" distB="0" distL="114300" distR="114300" simplePos="0" relativeHeight="251657216" behindDoc="0" locked="0" layoutInCell="1" allowOverlap="1" wp14:anchorId="2A7423E8" wp14:editId="44924E3A">
              <wp:simplePos x="0" y="0"/>
              <wp:positionH relativeFrom="column">
                <wp:posOffset>2621915</wp:posOffset>
              </wp:positionH>
              <wp:positionV relativeFrom="paragraph">
                <wp:posOffset>178435</wp:posOffset>
              </wp:positionV>
              <wp:extent cx="3128645" cy="816610"/>
              <wp:effectExtent l="0" t="0" r="14605"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645"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F59EE" w14:textId="77777777" w:rsidR="005B384E" w:rsidRPr="00694A29" w:rsidRDefault="005B384E" w:rsidP="006C5496">
                          <w:pPr>
                            <w:tabs>
                              <w:tab w:val="right" w:pos="2268"/>
                            </w:tabs>
                            <w:jc w:val="right"/>
                            <w:rPr>
                              <w:rFonts w:ascii="CorpoSLig" w:hAnsi="CorpoSLig"/>
                              <w:b/>
                              <w:color w:val="FF0000"/>
                              <w:sz w:val="32"/>
                              <w:szCs w:val="32"/>
                            </w:rPr>
                          </w:pPr>
                          <w:r>
                            <w:rPr>
                              <w:rFonts w:ascii="CorpoSLig" w:hAnsi="CorpoSLig"/>
                              <w:b/>
                              <w:sz w:val="32"/>
                            </w:rPr>
                            <w:tab/>
                            <w:t xml:space="preserve">                        Press Release</w:t>
                          </w:r>
                        </w:p>
                        <w:p w14:paraId="1D59FEEB" w14:textId="77777777" w:rsidR="005B384E" w:rsidRPr="00354BD1" w:rsidRDefault="005B384E" w:rsidP="006C5496">
                          <w:pPr>
                            <w:spacing w:before="210"/>
                            <w:jc w:val="right"/>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A7423E8" id="_x0000_t202" coordsize="21600,21600" o:spt="202" path="m,l,21600r21600,l21600,xe">
              <v:stroke joinstyle="miter"/>
              <v:path gradientshapeok="t" o:connecttype="rect"/>
            </v:shapetype>
            <v:shape id="Text Box 6" o:spid="_x0000_s1026" type="#_x0000_t202" style="position:absolute;margin-left:206.45pt;margin-top:14.05pt;width:246.35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" filled="f" stroked="f">
              <v:textbox inset="0,0,0,0">
                <w:txbxContent>
                  <w:p w14:paraId="74EF59EE" w14:textId="77777777" w:rsidR="005B384E" w:rsidRPr="00694A29" w:rsidRDefault="005B384E" w:rsidP="006C5496">
                    <w:pPr>
                      <w:tabs>
                        <w:tab w:val="right" w:pos="2268"/>
                      </w:tabs>
                      <w:jc w:val="right"/>
                      <w:rPr>
                        <w:b/>
                        <w:color w:val="FF0000"/>
                        <w:sz w:val="32"/>
                        <w:szCs w:val="32"/>
                        <w:rFonts w:ascii="CorpoSLig" w:hAnsi="CorpoSLig"/>
                      </w:rPr>
                    </w:pPr>
                    <w:r>
                      <w:rPr>
                        <w:b/>
                        <w:sz w:val="32"/>
                        <w:rFonts w:ascii="CorpoSLig" w:hAnsi="CorpoSLig"/>
                      </w:rPr>
                      <w:tab/>
                    </w:r>
                    <w:r>
                      <w:rPr>
                        <w:b/>
                        <w:sz w:val="32"/>
                        <w:rFonts w:ascii="CorpoSLig" w:hAnsi="CorpoSLig"/>
                      </w:rPr>
                      <w:t xml:space="preserve">                        </w:t>
                    </w:r>
                    <w:r>
                      <w:rPr>
                        <w:b/>
                        <w:sz w:val="32"/>
                        <w:rFonts w:ascii="CorpoSLig" w:hAnsi="CorpoSLig"/>
                      </w:rPr>
                      <w:t xml:space="preserve">Press Release</w:t>
                    </w:r>
                  </w:p>
                  <w:p w14:paraId="1D59FEEB" w14:textId="77777777" w:rsidR="005B384E" w:rsidRPr="00354BD1" w:rsidRDefault="005B384E" w:rsidP="006C5496">
                    <w:pPr>
                      <w:spacing w:before="210"/>
                      <w:jc w:val="right"/>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3BCFE3D5" wp14:editId="31643746">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6A73911A"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14:paraId="1B8DF32B" w14:textId="77777777" w:rsidR="005B384E" w:rsidRPr="00507889" w:rsidRDefault="005B384E">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B4182D"/>
    <w:multiLevelType w:val="hybridMultilevel"/>
    <w:tmpl w:val="607C0F80"/>
    <w:lvl w:ilvl="0" w:tplc="1B760454">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930807E8">
      <w:start w:val="1"/>
      <w:numFmt w:val="bullet"/>
      <w:lvlText w:val=""/>
      <w:lvlJc w:val="left"/>
      <w:pPr>
        <w:tabs>
          <w:tab w:val="num" w:pos="340"/>
        </w:tabs>
        <w:ind w:left="340" w:hanging="340"/>
      </w:pPr>
      <w:rPr>
        <w:rFonts w:ascii="Symbol" w:hAnsi="Symbol" w:hint="default"/>
      </w:rPr>
    </w:lvl>
    <w:lvl w:ilvl="1" w:tplc="CD70FDAE" w:tentative="1">
      <w:start w:val="1"/>
      <w:numFmt w:val="bullet"/>
      <w:lvlText w:val="o"/>
      <w:lvlJc w:val="left"/>
      <w:pPr>
        <w:tabs>
          <w:tab w:val="num" w:pos="1440"/>
        </w:tabs>
        <w:ind w:left="1440" w:hanging="360"/>
      </w:pPr>
      <w:rPr>
        <w:rFonts w:ascii="Courier New" w:hAnsi="Courier New" w:cs="Courier New" w:hint="default"/>
      </w:rPr>
    </w:lvl>
    <w:lvl w:ilvl="2" w:tplc="AEAC68DE" w:tentative="1">
      <w:start w:val="1"/>
      <w:numFmt w:val="bullet"/>
      <w:lvlText w:val=""/>
      <w:lvlJc w:val="left"/>
      <w:pPr>
        <w:tabs>
          <w:tab w:val="num" w:pos="2160"/>
        </w:tabs>
        <w:ind w:left="2160" w:hanging="360"/>
      </w:pPr>
      <w:rPr>
        <w:rFonts w:ascii="Wingdings" w:hAnsi="Wingdings" w:hint="default"/>
      </w:rPr>
    </w:lvl>
    <w:lvl w:ilvl="3" w:tplc="729086A2" w:tentative="1">
      <w:start w:val="1"/>
      <w:numFmt w:val="bullet"/>
      <w:lvlText w:val=""/>
      <w:lvlJc w:val="left"/>
      <w:pPr>
        <w:tabs>
          <w:tab w:val="num" w:pos="2880"/>
        </w:tabs>
        <w:ind w:left="2880" w:hanging="360"/>
      </w:pPr>
      <w:rPr>
        <w:rFonts w:ascii="Symbol" w:hAnsi="Symbol" w:hint="default"/>
      </w:rPr>
    </w:lvl>
    <w:lvl w:ilvl="4" w:tplc="7B445D42" w:tentative="1">
      <w:start w:val="1"/>
      <w:numFmt w:val="bullet"/>
      <w:lvlText w:val="o"/>
      <w:lvlJc w:val="left"/>
      <w:pPr>
        <w:tabs>
          <w:tab w:val="num" w:pos="3600"/>
        </w:tabs>
        <w:ind w:left="3600" w:hanging="360"/>
      </w:pPr>
      <w:rPr>
        <w:rFonts w:ascii="Courier New" w:hAnsi="Courier New" w:cs="Courier New" w:hint="default"/>
      </w:rPr>
    </w:lvl>
    <w:lvl w:ilvl="5" w:tplc="28047316" w:tentative="1">
      <w:start w:val="1"/>
      <w:numFmt w:val="bullet"/>
      <w:lvlText w:val=""/>
      <w:lvlJc w:val="left"/>
      <w:pPr>
        <w:tabs>
          <w:tab w:val="num" w:pos="4320"/>
        </w:tabs>
        <w:ind w:left="4320" w:hanging="360"/>
      </w:pPr>
      <w:rPr>
        <w:rFonts w:ascii="Wingdings" w:hAnsi="Wingdings" w:hint="default"/>
      </w:rPr>
    </w:lvl>
    <w:lvl w:ilvl="6" w:tplc="7DB4E6E0" w:tentative="1">
      <w:start w:val="1"/>
      <w:numFmt w:val="bullet"/>
      <w:lvlText w:val=""/>
      <w:lvlJc w:val="left"/>
      <w:pPr>
        <w:tabs>
          <w:tab w:val="num" w:pos="5040"/>
        </w:tabs>
        <w:ind w:left="5040" w:hanging="360"/>
      </w:pPr>
      <w:rPr>
        <w:rFonts w:ascii="Symbol" w:hAnsi="Symbol" w:hint="default"/>
      </w:rPr>
    </w:lvl>
    <w:lvl w:ilvl="7" w:tplc="D1E8662A" w:tentative="1">
      <w:start w:val="1"/>
      <w:numFmt w:val="bullet"/>
      <w:lvlText w:val="o"/>
      <w:lvlJc w:val="left"/>
      <w:pPr>
        <w:tabs>
          <w:tab w:val="num" w:pos="5760"/>
        </w:tabs>
        <w:ind w:left="5760" w:hanging="360"/>
      </w:pPr>
      <w:rPr>
        <w:rFonts w:ascii="Courier New" w:hAnsi="Courier New" w:cs="Courier New" w:hint="default"/>
      </w:rPr>
    </w:lvl>
    <w:lvl w:ilvl="8" w:tplc="EC0E840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5917F5"/>
    <w:multiLevelType w:val="hybridMultilevel"/>
    <w:tmpl w:val="A4640272"/>
    <w:lvl w:ilvl="0" w:tplc="288E40C2">
      <w:start w:val="1"/>
      <w:numFmt w:val="bullet"/>
      <w:lvlText w:val=""/>
      <w:lvlJc w:val="left"/>
      <w:pPr>
        <w:tabs>
          <w:tab w:val="num" w:pos="340"/>
        </w:tabs>
        <w:ind w:left="340" w:hanging="34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15:restartNumberingAfterBreak="0">
    <w:nsid w:val="67A904DE"/>
    <w:multiLevelType w:val="hybridMultilevel"/>
    <w:tmpl w:val="92FA2E5A"/>
    <w:lvl w:ilvl="0" w:tplc="42F40860">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344AAC"/>
    <w:multiLevelType w:val="hybridMultilevel"/>
    <w:tmpl w:val="2694783E"/>
    <w:lvl w:ilvl="0" w:tplc="EF54159A">
      <w:start w:val="8"/>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A04611"/>
    <w:multiLevelType w:val="hybridMultilevel"/>
    <w:tmpl w:val="73B2097C"/>
    <w:lvl w:ilvl="0" w:tplc="7FF8D880">
      <w:start w:val="1"/>
      <w:numFmt w:val="bullet"/>
      <w:lvlText w:val=""/>
      <w:lvlJc w:val="left"/>
      <w:pPr>
        <w:tabs>
          <w:tab w:val="num" w:pos="720"/>
        </w:tabs>
        <w:ind w:left="720" w:hanging="360"/>
      </w:pPr>
      <w:rPr>
        <w:rFonts w:ascii="Symbol" w:hAnsi="Symbol" w:hint="default"/>
      </w:rPr>
    </w:lvl>
    <w:lvl w:ilvl="1" w:tplc="5F66210C" w:tentative="1">
      <w:start w:val="1"/>
      <w:numFmt w:val="bullet"/>
      <w:lvlText w:val="o"/>
      <w:lvlJc w:val="left"/>
      <w:pPr>
        <w:tabs>
          <w:tab w:val="num" w:pos="1440"/>
        </w:tabs>
        <w:ind w:left="1440" w:hanging="360"/>
      </w:pPr>
      <w:rPr>
        <w:rFonts w:ascii="Courier New" w:hAnsi="Courier New" w:cs="Courier New" w:hint="default"/>
      </w:rPr>
    </w:lvl>
    <w:lvl w:ilvl="2" w:tplc="16D445F6" w:tentative="1">
      <w:start w:val="1"/>
      <w:numFmt w:val="bullet"/>
      <w:lvlText w:val=""/>
      <w:lvlJc w:val="left"/>
      <w:pPr>
        <w:tabs>
          <w:tab w:val="num" w:pos="2160"/>
        </w:tabs>
        <w:ind w:left="2160" w:hanging="360"/>
      </w:pPr>
      <w:rPr>
        <w:rFonts w:ascii="Wingdings" w:hAnsi="Wingdings" w:hint="default"/>
      </w:rPr>
    </w:lvl>
    <w:lvl w:ilvl="3" w:tplc="4F364E4E" w:tentative="1">
      <w:start w:val="1"/>
      <w:numFmt w:val="bullet"/>
      <w:lvlText w:val=""/>
      <w:lvlJc w:val="left"/>
      <w:pPr>
        <w:tabs>
          <w:tab w:val="num" w:pos="2880"/>
        </w:tabs>
        <w:ind w:left="2880" w:hanging="360"/>
      </w:pPr>
      <w:rPr>
        <w:rFonts w:ascii="Symbol" w:hAnsi="Symbol" w:hint="default"/>
      </w:rPr>
    </w:lvl>
    <w:lvl w:ilvl="4" w:tplc="7B8079FE" w:tentative="1">
      <w:start w:val="1"/>
      <w:numFmt w:val="bullet"/>
      <w:lvlText w:val="o"/>
      <w:lvlJc w:val="left"/>
      <w:pPr>
        <w:tabs>
          <w:tab w:val="num" w:pos="3600"/>
        </w:tabs>
        <w:ind w:left="3600" w:hanging="360"/>
      </w:pPr>
      <w:rPr>
        <w:rFonts w:ascii="Courier New" w:hAnsi="Courier New" w:cs="Courier New" w:hint="default"/>
      </w:rPr>
    </w:lvl>
    <w:lvl w:ilvl="5" w:tplc="71183C76" w:tentative="1">
      <w:start w:val="1"/>
      <w:numFmt w:val="bullet"/>
      <w:lvlText w:val=""/>
      <w:lvlJc w:val="left"/>
      <w:pPr>
        <w:tabs>
          <w:tab w:val="num" w:pos="4320"/>
        </w:tabs>
        <w:ind w:left="4320" w:hanging="360"/>
      </w:pPr>
      <w:rPr>
        <w:rFonts w:ascii="Wingdings" w:hAnsi="Wingdings" w:hint="default"/>
      </w:rPr>
    </w:lvl>
    <w:lvl w:ilvl="6" w:tplc="F3B613B8" w:tentative="1">
      <w:start w:val="1"/>
      <w:numFmt w:val="bullet"/>
      <w:lvlText w:val=""/>
      <w:lvlJc w:val="left"/>
      <w:pPr>
        <w:tabs>
          <w:tab w:val="num" w:pos="5040"/>
        </w:tabs>
        <w:ind w:left="5040" w:hanging="360"/>
      </w:pPr>
      <w:rPr>
        <w:rFonts w:ascii="Symbol" w:hAnsi="Symbol" w:hint="default"/>
      </w:rPr>
    </w:lvl>
    <w:lvl w:ilvl="7" w:tplc="E9666A58" w:tentative="1">
      <w:start w:val="1"/>
      <w:numFmt w:val="bullet"/>
      <w:lvlText w:val="o"/>
      <w:lvlJc w:val="left"/>
      <w:pPr>
        <w:tabs>
          <w:tab w:val="num" w:pos="5760"/>
        </w:tabs>
        <w:ind w:left="5760" w:hanging="360"/>
      </w:pPr>
      <w:rPr>
        <w:rFonts w:ascii="Courier New" w:hAnsi="Courier New" w:cs="Courier New" w:hint="default"/>
      </w:rPr>
    </w:lvl>
    <w:lvl w:ilvl="8" w:tplc="268C116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4"/>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5"/>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0056"/>
    <w:rsid w:val="00001A69"/>
    <w:rsid w:val="000035F3"/>
    <w:rsid w:val="000075A5"/>
    <w:rsid w:val="00007718"/>
    <w:rsid w:val="00010145"/>
    <w:rsid w:val="00010BAE"/>
    <w:rsid w:val="00014216"/>
    <w:rsid w:val="00014295"/>
    <w:rsid w:val="0001625B"/>
    <w:rsid w:val="000163FF"/>
    <w:rsid w:val="000165E8"/>
    <w:rsid w:val="00017987"/>
    <w:rsid w:val="0002022E"/>
    <w:rsid w:val="00020CA2"/>
    <w:rsid w:val="00025AFC"/>
    <w:rsid w:val="00032DD5"/>
    <w:rsid w:val="00034C1E"/>
    <w:rsid w:val="000371A1"/>
    <w:rsid w:val="0004012A"/>
    <w:rsid w:val="00042608"/>
    <w:rsid w:val="0004510F"/>
    <w:rsid w:val="000468B9"/>
    <w:rsid w:val="00046D7A"/>
    <w:rsid w:val="00047D05"/>
    <w:rsid w:val="00050992"/>
    <w:rsid w:val="00051E60"/>
    <w:rsid w:val="00053AE0"/>
    <w:rsid w:val="00053D85"/>
    <w:rsid w:val="0005588E"/>
    <w:rsid w:val="00056B89"/>
    <w:rsid w:val="00063075"/>
    <w:rsid w:val="00065075"/>
    <w:rsid w:val="0006552A"/>
    <w:rsid w:val="000703BF"/>
    <w:rsid w:val="000706B8"/>
    <w:rsid w:val="00072045"/>
    <w:rsid w:val="00073698"/>
    <w:rsid w:val="00073BEA"/>
    <w:rsid w:val="00074142"/>
    <w:rsid w:val="00074F55"/>
    <w:rsid w:val="0007603C"/>
    <w:rsid w:val="00077401"/>
    <w:rsid w:val="00083A52"/>
    <w:rsid w:val="00084883"/>
    <w:rsid w:val="000860C0"/>
    <w:rsid w:val="00087202"/>
    <w:rsid w:val="0008737B"/>
    <w:rsid w:val="000939E0"/>
    <w:rsid w:val="00094DD7"/>
    <w:rsid w:val="00095C96"/>
    <w:rsid w:val="000971DD"/>
    <w:rsid w:val="000A1616"/>
    <w:rsid w:val="000A18A9"/>
    <w:rsid w:val="000A3A05"/>
    <w:rsid w:val="000A6390"/>
    <w:rsid w:val="000A65E0"/>
    <w:rsid w:val="000B2DE3"/>
    <w:rsid w:val="000B4AA0"/>
    <w:rsid w:val="000B67F6"/>
    <w:rsid w:val="000C09A7"/>
    <w:rsid w:val="000C1A76"/>
    <w:rsid w:val="000C58DC"/>
    <w:rsid w:val="000C7B00"/>
    <w:rsid w:val="000D1B66"/>
    <w:rsid w:val="000D2837"/>
    <w:rsid w:val="000D3F29"/>
    <w:rsid w:val="000D472F"/>
    <w:rsid w:val="000E18AB"/>
    <w:rsid w:val="000E1C17"/>
    <w:rsid w:val="000E2052"/>
    <w:rsid w:val="000E2E12"/>
    <w:rsid w:val="000E5C57"/>
    <w:rsid w:val="000E76D2"/>
    <w:rsid w:val="000E7DEA"/>
    <w:rsid w:val="000F005C"/>
    <w:rsid w:val="000F0BAD"/>
    <w:rsid w:val="000F1C43"/>
    <w:rsid w:val="000F2FF0"/>
    <w:rsid w:val="000F74AB"/>
    <w:rsid w:val="0010004F"/>
    <w:rsid w:val="00100FBE"/>
    <w:rsid w:val="00101DCF"/>
    <w:rsid w:val="001020B6"/>
    <w:rsid w:val="001025B3"/>
    <w:rsid w:val="001048D3"/>
    <w:rsid w:val="00105396"/>
    <w:rsid w:val="001060D0"/>
    <w:rsid w:val="00106974"/>
    <w:rsid w:val="00107198"/>
    <w:rsid w:val="00107445"/>
    <w:rsid w:val="00107712"/>
    <w:rsid w:val="0011204E"/>
    <w:rsid w:val="00112495"/>
    <w:rsid w:val="00112591"/>
    <w:rsid w:val="00113459"/>
    <w:rsid w:val="00113504"/>
    <w:rsid w:val="00113984"/>
    <w:rsid w:val="00115186"/>
    <w:rsid w:val="001165C6"/>
    <w:rsid w:val="0011730A"/>
    <w:rsid w:val="00117AFF"/>
    <w:rsid w:val="001235C4"/>
    <w:rsid w:val="00123CCA"/>
    <w:rsid w:val="00123D36"/>
    <w:rsid w:val="00126B24"/>
    <w:rsid w:val="001312D6"/>
    <w:rsid w:val="00132F2F"/>
    <w:rsid w:val="001403F4"/>
    <w:rsid w:val="00141BAC"/>
    <w:rsid w:val="00143677"/>
    <w:rsid w:val="00144D88"/>
    <w:rsid w:val="0014585E"/>
    <w:rsid w:val="00145A04"/>
    <w:rsid w:val="00146764"/>
    <w:rsid w:val="00150467"/>
    <w:rsid w:val="00151E2A"/>
    <w:rsid w:val="00153E54"/>
    <w:rsid w:val="0016000F"/>
    <w:rsid w:val="00161C8C"/>
    <w:rsid w:val="00161E32"/>
    <w:rsid w:val="001622D3"/>
    <w:rsid w:val="00162CBB"/>
    <w:rsid w:val="00163004"/>
    <w:rsid w:val="00163313"/>
    <w:rsid w:val="001672AE"/>
    <w:rsid w:val="001677E9"/>
    <w:rsid w:val="00170367"/>
    <w:rsid w:val="001721F1"/>
    <w:rsid w:val="00172C9C"/>
    <w:rsid w:val="001774EE"/>
    <w:rsid w:val="00181D71"/>
    <w:rsid w:val="001855C5"/>
    <w:rsid w:val="00186D40"/>
    <w:rsid w:val="00190369"/>
    <w:rsid w:val="00194860"/>
    <w:rsid w:val="00197CF5"/>
    <w:rsid w:val="001A47CB"/>
    <w:rsid w:val="001A5750"/>
    <w:rsid w:val="001A6F8E"/>
    <w:rsid w:val="001A76F2"/>
    <w:rsid w:val="001B1AE3"/>
    <w:rsid w:val="001B434D"/>
    <w:rsid w:val="001B6BEA"/>
    <w:rsid w:val="001C403E"/>
    <w:rsid w:val="001C4716"/>
    <w:rsid w:val="001C53D3"/>
    <w:rsid w:val="001C5559"/>
    <w:rsid w:val="001C5F28"/>
    <w:rsid w:val="001C651B"/>
    <w:rsid w:val="001C7658"/>
    <w:rsid w:val="001D0043"/>
    <w:rsid w:val="001D238A"/>
    <w:rsid w:val="001D4D29"/>
    <w:rsid w:val="001D5D33"/>
    <w:rsid w:val="001E0F56"/>
    <w:rsid w:val="001E5591"/>
    <w:rsid w:val="001E56B3"/>
    <w:rsid w:val="001E5784"/>
    <w:rsid w:val="001E71BD"/>
    <w:rsid w:val="001F1D92"/>
    <w:rsid w:val="001F4294"/>
    <w:rsid w:val="00200FF1"/>
    <w:rsid w:val="002023C7"/>
    <w:rsid w:val="002037D9"/>
    <w:rsid w:val="00204EE6"/>
    <w:rsid w:val="0021191F"/>
    <w:rsid w:val="00211E8C"/>
    <w:rsid w:val="0021633B"/>
    <w:rsid w:val="002174F8"/>
    <w:rsid w:val="00220CEF"/>
    <w:rsid w:val="00221279"/>
    <w:rsid w:val="00221F25"/>
    <w:rsid w:val="00222DEF"/>
    <w:rsid w:val="0022336E"/>
    <w:rsid w:val="00226271"/>
    <w:rsid w:val="002335C6"/>
    <w:rsid w:val="00236E3A"/>
    <w:rsid w:val="00237253"/>
    <w:rsid w:val="002437FE"/>
    <w:rsid w:val="00245B50"/>
    <w:rsid w:val="00252060"/>
    <w:rsid w:val="00254406"/>
    <w:rsid w:val="00254807"/>
    <w:rsid w:val="00254EE7"/>
    <w:rsid w:val="00256BAD"/>
    <w:rsid w:val="00256E41"/>
    <w:rsid w:val="00261A60"/>
    <w:rsid w:val="002654C2"/>
    <w:rsid w:val="00266762"/>
    <w:rsid w:val="00267121"/>
    <w:rsid w:val="0026727F"/>
    <w:rsid w:val="00270DD3"/>
    <w:rsid w:val="00270EB5"/>
    <w:rsid w:val="002716B2"/>
    <w:rsid w:val="002741C5"/>
    <w:rsid w:val="002756EB"/>
    <w:rsid w:val="00280197"/>
    <w:rsid w:val="00280628"/>
    <w:rsid w:val="00281AA0"/>
    <w:rsid w:val="00282874"/>
    <w:rsid w:val="00282905"/>
    <w:rsid w:val="002900CD"/>
    <w:rsid w:val="00291085"/>
    <w:rsid w:val="00291645"/>
    <w:rsid w:val="0029213E"/>
    <w:rsid w:val="00293D98"/>
    <w:rsid w:val="00296646"/>
    <w:rsid w:val="002966FA"/>
    <w:rsid w:val="002975CF"/>
    <w:rsid w:val="00297651"/>
    <w:rsid w:val="002A3DF2"/>
    <w:rsid w:val="002A3E0D"/>
    <w:rsid w:val="002A4079"/>
    <w:rsid w:val="002A523E"/>
    <w:rsid w:val="002A57D3"/>
    <w:rsid w:val="002A63C8"/>
    <w:rsid w:val="002B2576"/>
    <w:rsid w:val="002B6B5C"/>
    <w:rsid w:val="002B7FD7"/>
    <w:rsid w:val="002C1173"/>
    <w:rsid w:val="002C187E"/>
    <w:rsid w:val="002C1C71"/>
    <w:rsid w:val="002C2796"/>
    <w:rsid w:val="002C3218"/>
    <w:rsid w:val="002C3562"/>
    <w:rsid w:val="002C3897"/>
    <w:rsid w:val="002C4DDC"/>
    <w:rsid w:val="002C6BB7"/>
    <w:rsid w:val="002C7132"/>
    <w:rsid w:val="002D1591"/>
    <w:rsid w:val="002D3EED"/>
    <w:rsid w:val="002D4E1A"/>
    <w:rsid w:val="002D758E"/>
    <w:rsid w:val="002E028E"/>
    <w:rsid w:val="002E2813"/>
    <w:rsid w:val="002E2DB5"/>
    <w:rsid w:val="002E3646"/>
    <w:rsid w:val="002E648F"/>
    <w:rsid w:val="002F0C11"/>
    <w:rsid w:val="002F6732"/>
    <w:rsid w:val="002F76AF"/>
    <w:rsid w:val="00300A57"/>
    <w:rsid w:val="003011DD"/>
    <w:rsid w:val="003018DF"/>
    <w:rsid w:val="0030514A"/>
    <w:rsid w:val="00305E13"/>
    <w:rsid w:val="0030756D"/>
    <w:rsid w:val="00310230"/>
    <w:rsid w:val="00310E95"/>
    <w:rsid w:val="00311CAE"/>
    <w:rsid w:val="00312C79"/>
    <w:rsid w:val="00316554"/>
    <w:rsid w:val="0032072A"/>
    <w:rsid w:val="00322F67"/>
    <w:rsid w:val="003240A5"/>
    <w:rsid w:val="0032464F"/>
    <w:rsid w:val="00324FB1"/>
    <w:rsid w:val="00325951"/>
    <w:rsid w:val="00326219"/>
    <w:rsid w:val="00326AE7"/>
    <w:rsid w:val="00326D0F"/>
    <w:rsid w:val="0032714B"/>
    <w:rsid w:val="003306E0"/>
    <w:rsid w:val="003329A3"/>
    <w:rsid w:val="00332B8F"/>
    <w:rsid w:val="00337A4A"/>
    <w:rsid w:val="003415EF"/>
    <w:rsid w:val="00341A8C"/>
    <w:rsid w:val="00342329"/>
    <w:rsid w:val="003423A0"/>
    <w:rsid w:val="00342A55"/>
    <w:rsid w:val="00343C99"/>
    <w:rsid w:val="00343DB0"/>
    <w:rsid w:val="00344B08"/>
    <w:rsid w:val="003465D9"/>
    <w:rsid w:val="00350531"/>
    <w:rsid w:val="003514EE"/>
    <w:rsid w:val="00351FB9"/>
    <w:rsid w:val="0035315A"/>
    <w:rsid w:val="003536F8"/>
    <w:rsid w:val="00354A2A"/>
    <w:rsid w:val="00354BD1"/>
    <w:rsid w:val="003567A7"/>
    <w:rsid w:val="003577B9"/>
    <w:rsid w:val="00357F16"/>
    <w:rsid w:val="0036092F"/>
    <w:rsid w:val="00362788"/>
    <w:rsid w:val="00364C74"/>
    <w:rsid w:val="003714AE"/>
    <w:rsid w:val="00371A46"/>
    <w:rsid w:val="00371B73"/>
    <w:rsid w:val="00372BA1"/>
    <w:rsid w:val="00372E1C"/>
    <w:rsid w:val="00373418"/>
    <w:rsid w:val="0038142E"/>
    <w:rsid w:val="003839FD"/>
    <w:rsid w:val="003875F7"/>
    <w:rsid w:val="00390A09"/>
    <w:rsid w:val="0039183B"/>
    <w:rsid w:val="00392F50"/>
    <w:rsid w:val="00394A76"/>
    <w:rsid w:val="003A20E2"/>
    <w:rsid w:val="003A2477"/>
    <w:rsid w:val="003A2718"/>
    <w:rsid w:val="003A32EF"/>
    <w:rsid w:val="003A5EDA"/>
    <w:rsid w:val="003A74C1"/>
    <w:rsid w:val="003A74F5"/>
    <w:rsid w:val="003B2216"/>
    <w:rsid w:val="003B2492"/>
    <w:rsid w:val="003B2584"/>
    <w:rsid w:val="003B338A"/>
    <w:rsid w:val="003B3458"/>
    <w:rsid w:val="003B3A95"/>
    <w:rsid w:val="003B6AB4"/>
    <w:rsid w:val="003B6BFB"/>
    <w:rsid w:val="003C0459"/>
    <w:rsid w:val="003C11C9"/>
    <w:rsid w:val="003C1344"/>
    <w:rsid w:val="003C1FB5"/>
    <w:rsid w:val="003C43E0"/>
    <w:rsid w:val="003D1233"/>
    <w:rsid w:val="003D274C"/>
    <w:rsid w:val="003D5779"/>
    <w:rsid w:val="003E2208"/>
    <w:rsid w:val="003E220C"/>
    <w:rsid w:val="003E23F9"/>
    <w:rsid w:val="003E48DA"/>
    <w:rsid w:val="003E4C71"/>
    <w:rsid w:val="003E7697"/>
    <w:rsid w:val="003E7C69"/>
    <w:rsid w:val="003F158C"/>
    <w:rsid w:val="003F3C37"/>
    <w:rsid w:val="0040012B"/>
    <w:rsid w:val="004044E9"/>
    <w:rsid w:val="00405869"/>
    <w:rsid w:val="004075A3"/>
    <w:rsid w:val="00410940"/>
    <w:rsid w:val="00412DC5"/>
    <w:rsid w:val="004155C9"/>
    <w:rsid w:val="00415D3F"/>
    <w:rsid w:val="004168EA"/>
    <w:rsid w:val="00416CE4"/>
    <w:rsid w:val="004203A5"/>
    <w:rsid w:val="00421D92"/>
    <w:rsid w:val="00422193"/>
    <w:rsid w:val="004232FE"/>
    <w:rsid w:val="00426992"/>
    <w:rsid w:val="00433A66"/>
    <w:rsid w:val="004429B1"/>
    <w:rsid w:val="00444D67"/>
    <w:rsid w:val="004470D8"/>
    <w:rsid w:val="0045457F"/>
    <w:rsid w:val="00462E55"/>
    <w:rsid w:val="0046413D"/>
    <w:rsid w:val="00464D0D"/>
    <w:rsid w:val="00465B1A"/>
    <w:rsid w:val="00466DC0"/>
    <w:rsid w:val="0047065C"/>
    <w:rsid w:val="00471711"/>
    <w:rsid w:val="004747EB"/>
    <w:rsid w:val="00475515"/>
    <w:rsid w:val="00475E50"/>
    <w:rsid w:val="00476248"/>
    <w:rsid w:val="00480A75"/>
    <w:rsid w:val="00481764"/>
    <w:rsid w:val="0048499B"/>
    <w:rsid w:val="00490BB2"/>
    <w:rsid w:val="00490C18"/>
    <w:rsid w:val="0049213E"/>
    <w:rsid w:val="00493FCB"/>
    <w:rsid w:val="00494B76"/>
    <w:rsid w:val="004966DC"/>
    <w:rsid w:val="00497A32"/>
    <w:rsid w:val="004A092E"/>
    <w:rsid w:val="004A5988"/>
    <w:rsid w:val="004A7D26"/>
    <w:rsid w:val="004A7E07"/>
    <w:rsid w:val="004B3D72"/>
    <w:rsid w:val="004B496B"/>
    <w:rsid w:val="004B5C4C"/>
    <w:rsid w:val="004B5EFE"/>
    <w:rsid w:val="004B7E67"/>
    <w:rsid w:val="004C0AA1"/>
    <w:rsid w:val="004C372A"/>
    <w:rsid w:val="004C4759"/>
    <w:rsid w:val="004C5461"/>
    <w:rsid w:val="004C594B"/>
    <w:rsid w:val="004C5E01"/>
    <w:rsid w:val="004D3B41"/>
    <w:rsid w:val="004D4783"/>
    <w:rsid w:val="004D5603"/>
    <w:rsid w:val="004E0F1F"/>
    <w:rsid w:val="004E43B3"/>
    <w:rsid w:val="004E590F"/>
    <w:rsid w:val="004E5F27"/>
    <w:rsid w:val="004E64AE"/>
    <w:rsid w:val="004F027E"/>
    <w:rsid w:val="004F201A"/>
    <w:rsid w:val="004F4B54"/>
    <w:rsid w:val="004F5EC6"/>
    <w:rsid w:val="00500B06"/>
    <w:rsid w:val="005017E2"/>
    <w:rsid w:val="00507889"/>
    <w:rsid w:val="005102CA"/>
    <w:rsid w:val="005106C2"/>
    <w:rsid w:val="00510C6E"/>
    <w:rsid w:val="00511729"/>
    <w:rsid w:val="00513ADD"/>
    <w:rsid w:val="005159F9"/>
    <w:rsid w:val="005200F5"/>
    <w:rsid w:val="00520328"/>
    <w:rsid w:val="00521181"/>
    <w:rsid w:val="00521F85"/>
    <w:rsid w:val="00526D8D"/>
    <w:rsid w:val="00530295"/>
    <w:rsid w:val="00532315"/>
    <w:rsid w:val="00532C98"/>
    <w:rsid w:val="00533414"/>
    <w:rsid w:val="00533B1E"/>
    <w:rsid w:val="0054129D"/>
    <w:rsid w:val="0054532F"/>
    <w:rsid w:val="0054581A"/>
    <w:rsid w:val="00553986"/>
    <w:rsid w:val="00556F66"/>
    <w:rsid w:val="00561D4A"/>
    <w:rsid w:val="00566091"/>
    <w:rsid w:val="005660B5"/>
    <w:rsid w:val="00566C7D"/>
    <w:rsid w:val="00566E6B"/>
    <w:rsid w:val="00567B1D"/>
    <w:rsid w:val="00572802"/>
    <w:rsid w:val="00573284"/>
    <w:rsid w:val="00573B3B"/>
    <w:rsid w:val="0057685E"/>
    <w:rsid w:val="0058081C"/>
    <w:rsid w:val="005819D2"/>
    <w:rsid w:val="00583A63"/>
    <w:rsid w:val="00583F6B"/>
    <w:rsid w:val="00584264"/>
    <w:rsid w:val="00584863"/>
    <w:rsid w:val="00586F30"/>
    <w:rsid w:val="00591762"/>
    <w:rsid w:val="005934BB"/>
    <w:rsid w:val="005A006F"/>
    <w:rsid w:val="005A05D3"/>
    <w:rsid w:val="005A0ACE"/>
    <w:rsid w:val="005A1451"/>
    <w:rsid w:val="005A280D"/>
    <w:rsid w:val="005A4152"/>
    <w:rsid w:val="005A75B7"/>
    <w:rsid w:val="005B0707"/>
    <w:rsid w:val="005B0F46"/>
    <w:rsid w:val="005B1253"/>
    <w:rsid w:val="005B384E"/>
    <w:rsid w:val="005B4229"/>
    <w:rsid w:val="005B4C0D"/>
    <w:rsid w:val="005B4F69"/>
    <w:rsid w:val="005B7771"/>
    <w:rsid w:val="005C007B"/>
    <w:rsid w:val="005C6A8C"/>
    <w:rsid w:val="005C6C40"/>
    <w:rsid w:val="005D5821"/>
    <w:rsid w:val="005D737B"/>
    <w:rsid w:val="005E1D59"/>
    <w:rsid w:val="005E2F6D"/>
    <w:rsid w:val="005E4E04"/>
    <w:rsid w:val="005E54F6"/>
    <w:rsid w:val="005E64C5"/>
    <w:rsid w:val="005E65F7"/>
    <w:rsid w:val="005F380C"/>
    <w:rsid w:val="005F55C7"/>
    <w:rsid w:val="005F5771"/>
    <w:rsid w:val="005F6B07"/>
    <w:rsid w:val="005F7FB5"/>
    <w:rsid w:val="00601381"/>
    <w:rsid w:val="0060201F"/>
    <w:rsid w:val="00602DEE"/>
    <w:rsid w:val="00603DF3"/>
    <w:rsid w:val="00607764"/>
    <w:rsid w:val="006140A4"/>
    <w:rsid w:val="00614A3F"/>
    <w:rsid w:val="006156F6"/>
    <w:rsid w:val="00616F28"/>
    <w:rsid w:val="006236FA"/>
    <w:rsid w:val="006247E8"/>
    <w:rsid w:val="00625232"/>
    <w:rsid w:val="00626212"/>
    <w:rsid w:val="00632EBB"/>
    <w:rsid w:val="0063624D"/>
    <w:rsid w:val="00636522"/>
    <w:rsid w:val="00636B49"/>
    <w:rsid w:val="006373EC"/>
    <w:rsid w:val="006379B7"/>
    <w:rsid w:val="00640206"/>
    <w:rsid w:val="00640E74"/>
    <w:rsid w:val="00645930"/>
    <w:rsid w:val="00645AA4"/>
    <w:rsid w:val="006463C2"/>
    <w:rsid w:val="006466E5"/>
    <w:rsid w:val="0065197B"/>
    <w:rsid w:val="0065327F"/>
    <w:rsid w:val="0065411C"/>
    <w:rsid w:val="00654FF2"/>
    <w:rsid w:val="00656C03"/>
    <w:rsid w:val="00656C88"/>
    <w:rsid w:val="00661466"/>
    <w:rsid w:val="00667C33"/>
    <w:rsid w:val="00671791"/>
    <w:rsid w:val="0067551C"/>
    <w:rsid w:val="00675CB3"/>
    <w:rsid w:val="00681B62"/>
    <w:rsid w:val="00682154"/>
    <w:rsid w:val="00682B38"/>
    <w:rsid w:val="00684525"/>
    <w:rsid w:val="0068586D"/>
    <w:rsid w:val="006868A4"/>
    <w:rsid w:val="006906EB"/>
    <w:rsid w:val="00690712"/>
    <w:rsid w:val="00690B2E"/>
    <w:rsid w:val="00692642"/>
    <w:rsid w:val="006926E5"/>
    <w:rsid w:val="006928A4"/>
    <w:rsid w:val="00692934"/>
    <w:rsid w:val="00692AEF"/>
    <w:rsid w:val="0069361B"/>
    <w:rsid w:val="00694A29"/>
    <w:rsid w:val="00695DED"/>
    <w:rsid w:val="00697C93"/>
    <w:rsid w:val="006A06EA"/>
    <w:rsid w:val="006A16CD"/>
    <w:rsid w:val="006A1C42"/>
    <w:rsid w:val="006A30A9"/>
    <w:rsid w:val="006A62F0"/>
    <w:rsid w:val="006A71EF"/>
    <w:rsid w:val="006A7F6A"/>
    <w:rsid w:val="006B0CBE"/>
    <w:rsid w:val="006B1097"/>
    <w:rsid w:val="006B61E1"/>
    <w:rsid w:val="006B6297"/>
    <w:rsid w:val="006B6894"/>
    <w:rsid w:val="006C2A60"/>
    <w:rsid w:val="006C369C"/>
    <w:rsid w:val="006C5496"/>
    <w:rsid w:val="006D1C26"/>
    <w:rsid w:val="006D238D"/>
    <w:rsid w:val="006D6C35"/>
    <w:rsid w:val="006E141E"/>
    <w:rsid w:val="006E149E"/>
    <w:rsid w:val="006E15BE"/>
    <w:rsid w:val="006E1D8B"/>
    <w:rsid w:val="006E5A43"/>
    <w:rsid w:val="006E6D73"/>
    <w:rsid w:val="006F00E2"/>
    <w:rsid w:val="006F2C00"/>
    <w:rsid w:val="006F6672"/>
    <w:rsid w:val="006F6CB9"/>
    <w:rsid w:val="006F76F1"/>
    <w:rsid w:val="0070220C"/>
    <w:rsid w:val="00702615"/>
    <w:rsid w:val="0070360F"/>
    <w:rsid w:val="00706897"/>
    <w:rsid w:val="007068CC"/>
    <w:rsid w:val="007108C7"/>
    <w:rsid w:val="00712E0A"/>
    <w:rsid w:val="00712F46"/>
    <w:rsid w:val="007174B3"/>
    <w:rsid w:val="0072741F"/>
    <w:rsid w:val="00736CB0"/>
    <w:rsid w:val="00737394"/>
    <w:rsid w:val="00740881"/>
    <w:rsid w:val="00742193"/>
    <w:rsid w:val="00742443"/>
    <w:rsid w:val="00742FCE"/>
    <w:rsid w:val="00746AD3"/>
    <w:rsid w:val="007527E9"/>
    <w:rsid w:val="00752FE0"/>
    <w:rsid w:val="00754E31"/>
    <w:rsid w:val="00755EB4"/>
    <w:rsid w:val="007575AF"/>
    <w:rsid w:val="00757670"/>
    <w:rsid w:val="00760EE0"/>
    <w:rsid w:val="00761A2B"/>
    <w:rsid w:val="0076577A"/>
    <w:rsid w:val="0076643E"/>
    <w:rsid w:val="00766743"/>
    <w:rsid w:val="00770B16"/>
    <w:rsid w:val="00771572"/>
    <w:rsid w:val="007719C7"/>
    <w:rsid w:val="00772834"/>
    <w:rsid w:val="007757C6"/>
    <w:rsid w:val="00775F9D"/>
    <w:rsid w:val="0077756B"/>
    <w:rsid w:val="007801BC"/>
    <w:rsid w:val="00783811"/>
    <w:rsid w:val="00784C42"/>
    <w:rsid w:val="007853D0"/>
    <w:rsid w:val="0078769A"/>
    <w:rsid w:val="00787C69"/>
    <w:rsid w:val="007902FC"/>
    <w:rsid w:val="0079113C"/>
    <w:rsid w:val="00792D0E"/>
    <w:rsid w:val="00795E58"/>
    <w:rsid w:val="007A0340"/>
    <w:rsid w:val="007A0798"/>
    <w:rsid w:val="007A2889"/>
    <w:rsid w:val="007A33DF"/>
    <w:rsid w:val="007A3449"/>
    <w:rsid w:val="007A5314"/>
    <w:rsid w:val="007A63C5"/>
    <w:rsid w:val="007A7A6A"/>
    <w:rsid w:val="007A7E57"/>
    <w:rsid w:val="007B1097"/>
    <w:rsid w:val="007B1A7A"/>
    <w:rsid w:val="007B301A"/>
    <w:rsid w:val="007B36B4"/>
    <w:rsid w:val="007B735F"/>
    <w:rsid w:val="007C0D1C"/>
    <w:rsid w:val="007C4C47"/>
    <w:rsid w:val="007C5637"/>
    <w:rsid w:val="007C5879"/>
    <w:rsid w:val="007C7B02"/>
    <w:rsid w:val="007C7B78"/>
    <w:rsid w:val="007D020C"/>
    <w:rsid w:val="007D3740"/>
    <w:rsid w:val="007D4FCF"/>
    <w:rsid w:val="007D5ABB"/>
    <w:rsid w:val="007E155E"/>
    <w:rsid w:val="007E223F"/>
    <w:rsid w:val="007E337E"/>
    <w:rsid w:val="007E4983"/>
    <w:rsid w:val="007E6CD3"/>
    <w:rsid w:val="007E7CA5"/>
    <w:rsid w:val="007F1859"/>
    <w:rsid w:val="007F194B"/>
    <w:rsid w:val="007F3FA3"/>
    <w:rsid w:val="007F5DED"/>
    <w:rsid w:val="00804AFD"/>
    <w:rsid w:val="008064CE"/>
    <w:rsid w:val="00806654"/>
    <w:rsid w:val="00807D86"/>
    <w:rsid w:val="00810798"/>
    <w:rsid w:val="00811B9A"/>
    <w:rsid w:val="00812E8C"/>
    <w:rsid w:val="0081427D"/>
    <w:rsid w:val="008163EE"/>
    <w:rsid w:val="00816635"/>
    <w:rsid w:val="008168F1"/>
    <w:rsid w:val="00816A3A"/>
    <w:rsid w:val="00817CEE"/>
    <w:rsid w:val="00821A96"/>
    <w:rsid w:val="00826A11"/>
    <w:rsid w:val="008271DD"/>
    <w:rsid w:val="00830EF7"/>
    <w:rsid w:val="00831FA3"/>
    <w:rsid w:val="00832C19"/>
    <w:rsid w:val="00833404"/>
    <w:rsid w:val="00834209"/>
    <w:rsid w:val="00837CB6"/>
    <w:rsid w:val="00840ED4"/>
    <w:rsid w:val="008418A3"/>
    <w:rsid w:val="0084218C"/>
    <w:rsid w:val="008440F6"/>
    <w:rsid w:val="00845B43"/>
    <w:rsid w:val="00846648"/>
    <w:rsid w:val="00851896"/>
    <w:rsid w:val="00853255"/>
    <w:rsid w:val="008536B3"/>
    <w:rsid w:val="0085541A"/>
    <w:rsid w:val="00856E31"/>
    <w:rsid w:val="0086110A"/>
    <w:rsid w:val="008612D6"/>
    <w:rsid w:val="00862548"/>
    <w:rsid w:val="008630FC"/>
    <w:rsid w:val="00872C46"/>
    <w:rsid w:val="00873E92"/>
    <w:rsid w:val="00883E60"/>
    <w:rsid w:val="00884707"/>
    <w:rsid w:val="008879C4"/>
    <w:rsid w:val="00890BCF"/>
    <w:rsid w:val="00890FD9"/>
    <w:rsid w:val="008944CD"/>
    <w:rsid w:val="008A1E29"/>
    <w:rsid w:val="008A29BD"/>
    <w:rsid w:val="008A55CA"/>
    <w:rsid w:val="008A5EAE"/>
    <w:rsid w:val="008A6D05"/>
    <w:rsid w:val="008B0A65"/>
    <w:rsid w:val="008B2068"/>
    <w:rsid w:val="008B2C97"/>
    <w:rsid w:val="008B2FD2"/>
    <w:rsid w:val="008B5372"/>
    <w:rsid w:val="008B70A2"/>
    <w:rsid w:val="008C07DD"/>
    <w:rsid w:val="008C2911"/>
    <w:rsid w:val="008C3580"/>
    <w:rsid w:val="008C7FB8"/>
    <w:rsid w:val="008D3F07"/>
    <w:rsid w:val="008D5F6B"/>
    <w:rsid w:val="008D7CDD"/>
    <w:rsid w:val="008E3B41"/>
    <w:rsid w:val="008E646B"/>
    <w:rsid w:val="008E6D0B"/>
    <w:rsid w:val="008E6EDD"/>
    <w:rsid w:val="008E749D"/>
    <w:rsid w:val="008E79CA"/>
    <w:rsid w:val="008F024F"/>
    <w:rsid w:val="008F0DAC"/>
    <w:rsid w:val="008F7E9A"/>
    <w:rsid w:val="00900007"/>
    <w:rsid w:val="0090114A"/>
    <w:rsid w:val="0090291A"/>
    <w:rsid w:val="0090641D"/>
    <w:rsid w:val="00907BC3"/>
    <w:rsid w:val="00914C01"/>
    <w:rsid w:val="00916D5D"/>
    <w:rsid w:val="00917918"/>
    <w:rsid w:val="0092220D"/>
    <w:rsid w:val="00923D30"/>
    <w:rsid w:val="0092750A"/>
    <w:rsid w:val="00927602"/>
    <w:rsid w:val="00931ABE"/>
    <w:rsid w:val="00931B5F"/>
    <w:rsid w:val="009326E7"/>
    <w:rsid w:val="00932903"/>
    <w:rsid w:val="0093526E"/>
    <w:rsid w:val="009451BC"/>
    <w:rsid w:val="009468EC"/>
    <w:rsid w:val="00946E6F"/>
    <w:rsid w:val="00947620"/>
    <w:rsid w:val="00947BA9"/>
    <w:rsid w:val="009502E4"/>
    <w:rsid w:val="00950960"/>
    <w:rsid w:val="009510EF"/>
    <w:rsid w:val="00954CC5"/>
    <w:rsid w:val="00955146"/>
    <w:rsid w:val="00956671"/>
    <w:rsid w:val="0096124D"/>
    <w:rsid w:val="00962029"/>
    <w:rsid w:val="0096287F"/>
    <w:rsid w:val="00962C3D"/>
    <w:rsid w:val="00963D45"/>
    <w:rsid w:val="00965B87"/>
    <w:rsid w:val="00966E5B"/>
    <w:rsid w:val="00967E65"/>
    <w:rsid w:val="00970F2A"/>
    <w:rsid w:val="00971E42"/>
    <w:rsid w:val="00974D59"/>
    <w:rsid w:val="00974F5A"/>
    <w:rsid w:val="009751D7"/>
    <w:rsid w:val="009777BC"/>
    <w:rsid w:val="00977A46"/>
    <w:rsid w:val="00977BA5"/>
    <w:rsid w:val="00977BC9"/>
    <w:rsid w:val="00981960"/>
    <w:rsid w:val="00982B92"/>
    <w:rsid w:val="00984A0B"/>
    <w:rsid w:val="00984BD9"/>
    <w:rsid w:val="009902A2"/>
    <w:rsid w:val="00991362"/>
    <w:rsid w:val="00991CF9"/>
    <w:rsid w:val="00992CD8"/>
    <w:rsid w:val="00994163"/>
    <w:rsid w:val="009959F2"/>
    <w:rsid w:val="0099749E"/>
    <w:rsid w:val="00997AC3"/>
    <w:rsid w:val="009B0DD6"/>
    <w:rsid w:val="009B22E6"/>
    <w:rsid w:val="009B248F"/>
    <w:rsid w:val="009B28C3"/>
    <w:rsid w:val="009B4DFE"/>
    <w:rsid w:val="009C049E"/>
    <w:rsid w:val="009C0632"/>
    <w:rsid w:val="009C0967"/>
    <w:rsid w:val="009C19B6"/>
    <w:rsid w:val="009C4514"/>
    <w:rsid w:val="009C61B2"/>
    <w:rsid w:val="009D203E"/>
    <w:rsid w:val="009D2AF7"/>
    <w:rsid w:val="009D35D0"/>
    <w:rsid w:val="009D4556"/>
    <w:rsid w:val="009D65F9"/>
    <w:rsid w:val="009D6F36"/>
    <w:rsid w:val="009D732F"/>
    <w:rsid w:val="009E05ED"/>
    <w:rsid w:val="009E0A17"/>
    <w:rsid w:val="009E24CD"/>
    <w:rsid w:val="009E2757"/>
    <w:rsid w:val="009E2D48"/>
    <w:rsid w:val="009E49E6"/>
    <w:rsid w:val="009E566C"/>
    <w:rsid w:val="009E62BA"/>
    <w:rsid w:val="009E75CC"/>
    <w:rsid w:val="009F0794"/>
    <w:rsid w:val="009F13C7"/>
    <w:rsid w:val="009F5B81"/>
    <w:rsid w:val="00A0180E"/>
    <w:rsid w:val="00A030D9"/>
    <w:rsid w:val="00A03882"/>
    <w:rsid w:val="00A03ACF"/>
    <w:rsid w:val="00A044A3"/>
    <w:rsid w:val="00A06B1D"/>
    <w:rsid w:val="00A1324E"/>
    <w:rsid w:val="00A159D4"/>
    <w:rsid w:val="00A169FE"/>
    <w:rsid w:val="00A2077D"/>
    <w:rsid w:val="00A22432"/>
    <w:rsid w:val="00A23FFE"/>
    <w:rsid w:val="00A3189E"/>
    <w:rsid w:val="00A3407C"/>
    <w:rsid w:val="00A341C6"/>
    <w:rsid w:val="00A35C99"/>
    <w:rsid w:val="00A36C48"/>
    <w:rsid w:val="00A40FB0"/>
    <w:rsid w:val="00A43C45"/>
    <w:rsid w:val="00A449B8"/>
    <w:rsid w:val="00A4513B"/>
    <w:rsid w:val="00A45313"/>
    <w:rsid w:val="00A46C24"/>
    <w:rsid w:val="00A5066E"/>
    <w:rsid w:val="00A513CB"/>
    <w:rsid w:val="00A52FED"/>
    <w:rsid w:val="00A54C34"/>
    <w:rsid w:val="00A55138"/>
    <w:rsid w:val="00A61728"/>
    <w:rsid w:val="00A6393A"/>
    <w:rsid w:val="00A64FB8"/>
    <w:rsid w:val="00A659F8"/>
    <w:rsid w:val="00A65E3C"/>
    <w:rsid w:val="00A66252"/>
    <w:rsid w:val="00A72AF6"/>
    <w:rsid w:val="00A73E32"/>
    <w:rsid w:val="00A749A4"/>
    <w:rsid w:val="00A775D8"/>
    <w:rsid w:val="00A7763E"/>
    <w:rsid w:val="00A81E6E"/>
    <w:rsid w:val="00A82212"/>
    <w:rsid w:val="00A85808"/>
    <w:rsid w:val="00A8770E"/>
    <w:rsid w:val="00A92169"/>
    <w:rsid w:val="00A92649"/>
    <w:rsid w:val="00A93031"/>
    <w:rsid w:val="00A93F50"/>
    <w:rsid w:val="00A9467A"/>
    <w:rsid w:val="00A9636B"/>
    <w:rsid w:val="00AA0062"/>
    <w:rsid w:val="00AA213B"/>
    <w:rsid w:val="00AA4B1E"/>
    <w:rsid w:val="00AA65ED"/>
    <w:rsid w:val="00AA674D"/>
    <w:rsid w:val="00AB0181"/>
    <w:rsid w:val="00AB038B"/>
    <w:rsid w:val="00AB1CAB"/>
    <w:rsid w:val="00AB2560"/>
    <w:rsid w:val="00AB550C"/>
    <w:rsid w:val="00AB560A"/>
    <w:rsid w:val="00AB5B4C"/>
    <w:rsid w:val="00AB6495"/>
    <w:rsid w:val="00AB6E49"/>
    <w:rsid w:val="00AB7725"/>
    <w:rsid w:val="00AB7BD6"/>
    <w:rsid w:val="00AC21B7"/>
    <w:rsid w:val="00AC3141"/>
    <w:rsid w:val="00AC3F4E"/>
    <w:rsid w:val="00AC58BD"/>
    <w:rsid w:val="00AC778C"/>
    <w:rsid w:val="00AD0CD8"/>
    <w:rsid w:val="00AD136B"/>
    <w:rsid w:val="00AD19E6"/>
    <w:rsid w:val="00AD279D"/>
    <w:rsid w:val="00AD61E4"/>
    <w:rsid w:val="00AD7116"/>
    <w:rsid w:val="00AD7224"/>
    <w:rsid w:val="00AE34E5"/>
    <w:rsid w:val="00AE6BDA"/>
    <w:rsid w:val="00AF181E"/>
    <w:rsid w:val="00AF197A"/>
    <w:rsid w:val="00AF2BE8"/>
    <w:rsid w:val="00AF5C7C"/>
    <w:rsid w:val="00AF6BBE"/>
    <w:rsid w:val="00AF74CB"/>
    <w:rsid w:val="00AF7961"/>
    <w:rsid w:val="00B012F8"/>
    <w:rsid w:val="00B0190F"/>
    <w:rsid w:val="00B03205"/>
    <w:rsid w:val="00B040EC"/>
    <w:rsid w:val="00B05CE3"/>
    <w:rsid w:val="00B062B6"/>
    <w:rsid w:val="00B076D6"/>
    <w:rsid w:val="00B078E0"/>
    <w:rsid w:val="00B079EB"/>
    <w:rsid w:val="00B10A17"/>
    <w:rsid w:val="00B121FD"/>
    <w:rsid w:val="00B12B4A"/>
    <w:rsid w:val="00B13C2E"/>
    <w:rsid w:val="00B167BB"/>
    <w:rsid w:val="00B17715"/>
    <w:rsid w:val="00B22562"/>
    <w:rsid w:val="00B248E8"/>
    <w:rsid w:val="00B306E8"/>
    <w:rsid w:val="00B33CFA"/>
    <w:rsid w:val="00B344FE"/>
    <w:rsid w:val="00B357E6"/>
    <w:rsid w:val="00B408F0"/>
    <w:rsid w:val="00B42F7E"/>
    <w:rsid w:val="00B4335E"/>
    <w:rsid w:val="00B43818"/>
    <w:rsid w:val="00B43819"/>
    <w:rsid w:val="00B44D2B"/>
    <w:rsid w:val="00B45093"/>
    <w:rsid w:val="00B47642"/>
    <w:rsid w:val="00B51A82"/>
    <w:rsid w:val="00B531A8"/>
    <w:rsid w:val="00B57AE5"/>
    <w:rsid w:val="00B60E2E"/>
    <w:rsid w:val="00B61B4A"/>
    <w:rsid w:val="00B61CC4"/>
    <w:rsid w:val="00B6302B"/>
    <w:rsid w:val="00B652CF"/>
    <w:rsid w:val="00B656A9"/>
    <w:rsid w:val="00B66245"/>
    <w:rsid w:val="00B67E21"/>
    <w:rsid w:val="00B71385"/>
    <w:rsid w:val="00B72BDB"/>
    <w:rsid w:val="00B773E8"/>
    <w:rsid w:val="00B8002F"/>
    <w:rsid w:val="00B800D4"/>
    <w:rsid w:val="00B81E97"/>
    <w:rsid w:val="00B82437"/>
    <w:rsid w:val="00B82B40"/>
    <w:rsid w:val="00B862A4"/>
    <w:rsid w:val="00B8750E"/>
    <w:rsid w:val="00B87AA2"/>
    <w:rsid w:val="00B87AF1"/>
    <w:rsid w:val="00B91284"/>
    <w:rsid w:val="00B9329F"/>
    <w:rsid w:val="00B93B4B"/>
    <w:rsid w:val="00B94466"/>
    <w:rsid w:val="00B95CF7"/>
    <w:rsid w:val="00B96135"/>
    <w:rsid w:val="00B977C5"/>
    <w:rsid w:val="00BA047C"/>
    <w:rsid w:val="00BA0660"/>
    <w:rsid w:val="00BA326C"/>
    <w:rsid w:val="00BA6BBE"/>
    <w:rsid w:val="00BB2E97"/>
    <w:rsid w:val="00BB5475"/>
    <w:rsid w:val="00BB5BC7"/>
    <w:rsid w:val="00BC0EFB"/>
    <w:rsid w:val="00BC26AC"/>
    <w:rsid w:val="00BC3AA4"/>
    <w:rsid w:val="00BC4868"/>
    <w:rsid w:val="00BC56C0"/>
    <w:rsid w:val="00BC6FF6"/>
    <w:rsid w:val="00BC7C0F"/>
    <w:rsid w:val="00BD03D1"/>
    <w:rsid w:val="00BD0659"/>
    <w:rsid w:val="00BD0FC5"/>
    <w:rsid w:val="00BD225D"/>
    <w:rsid w:val="00BD4F3C"/>
    <w:rsid w:val="00BE0256"/>
    <w:rsid w:val="00BE2EFA"/>
    <w:rsid w:val="00BE461F"/>
    <w:rsid w:val="00BE5BA9"/>
    <w:rsid w:val="00BE65EB"/>
    <w:rsid w:val="00BF44A2"/>
    <w:rsid w:val="00BF48C4"/>
    <w:rsid w:val="00BF53D7"/>
    <w:rsid w:val="00BF6B97"/>
    <w:rsid w:val="00C00119"/>
    <w:rsid w:val="00C022E0"/>
    <w:rsid w:val="00C037D7"/>
    <w:rsid w:val="00C04531"/>
    <w:rsid w:val="00C062F2"/>
    <w:rsid w:val="00C0727F"/>
    <w:rsid w:val="00C07B87"/>
    <w:rsid w:val="00C11438"/>
    <w:rsid w:val="00C11F8D"/>
    <w:rsid w:val="00C1256F"/>
    <w:rsid w:val="00C12A79"/>
    <w:rsid w:val="00C12B7E"/>
    <w:rsid w:val="00C138A9"/>
    <w:rsid w:val="00C16025"/>
    <w:rsid w:val="00C16B05"/>
    <w:rsid w:val="00C17B16"/>
    <w:rsid w:val="00C2542E"/>
    <w:rsid w:val="00C25EF7"/>
    <w:rsid w:val="00C27419"/>
    <w:rsid w:val="00C311FF"/>
    <w:rsid w:val="00C31949"/>
    <w:rsid w:val="00C319BB"/>
    <w:rsid w:val="00C32522"/>
    <w:rsid w:val="00C32663"/>
    <w:rsid w:val="00C345E3"/>
    <w:rsid w:val="00C3475C"/>
    <w:rsid w:val="00C37FFC"/>
    <w:rsid w:val="00C422B3"/>
    <w:rsid w:val="00C42A86"/>
    <w:rsid w:val="00C4369C"/>
    <w:rsid w:val="00C44533"/>
    <w:rsid w:val="00C46210"/>
    <w:rsid w:val="00C46730"/>
    <w:rsid w:val="00C5160B"/>
    <w:rsid w:val="00C51A14"/>
    <w:rsid w:val="00C52659"/>
    <w:rsid w:val="00C5280E"/>
    <w:rsid w:val="00C53234"/>
    <w:rsid w:val="00C551E1"/>
    <w:rsid w:val="00C5543F"/>
    <w:rsid w:val="00C555CE"/>
    <w:rsid w:val="00C6116C"/>
    <w:rsid w:val="00C611EE"/>
    <w:rsid w:val="00C63E4C"/>
    <w:rsid w:val="00C63FF1"/>
    <w:rsid w:val="00C6608E"/>
    <w:rsid w:val="00C66179"/>
    <w:rsid w:val="00C663AD"/>
    <w:rsid w:val="00C729FA"/>
    <w:rsid w:val="00C73544"/>
    <w:rsid w:val="00C74BED"/>
    <w:rsid w:val="00C74E90"/>
    <w:rsid w:val="00C74F90"/>
    <w:rsid w:val="00C76697"/>
    <w:rsid w:val="00C84525"/>
    <w:rsid w:val="00C84921"/>
    <w:rsid w:val="00C849E6"/>
    <w:rsid w:val="00C90CFA"/>
    <w:rsid w:val="00C90E82"/>
    <w:rsid w:val="00C91E70"/>
    <w:rsid w:val="00C9409F"/>
    <w:rsid w:val="00C95373"/>
    <w:rsid w:val="00C969D6"/>
    <w:rsid w:val="00C97587"/>
    <w:rsid w:val="00C976BB"/>
    <w:rsid w:val="00C97D92"/>
    <w:rsid w:val="00CA257F"/>
    <w:rsid w:val="00CA302C"/>
    <w:rsid w:val="00CA3A26"/>
    <w:rsid w:val="00CA7C9A"/>
    <w:rsid w:val="00CA7DD6"/>
    <w:rsid w:val="00CB0749"/>
    <w:rsid w:val="00CB0939"/>
    <w:rsid w:val="00CB178B"/>
    <w:rsid w:val="00CB59EF"/>
    <w:rsid w:val="00CB6CF0"/>
    <w:rsid w:val="00CB6EA6"/>
    <w:rsid w:val="00CC494A"/>
    <w:rsid w:val="00CC5F3A"/>
    <w:rsid w:val="00CC790A"/>
    <w:rsid w:val="00CC7B7A"/>
    <w:rsid w:val="00CD2469"/>
    <w:rsid w:val="00CD2C29"/>
    <w:rsid w:val="00CE0E77"/>
    <w:rsid w:val="00CE0F74"/>
    <w:rsid w:val="00CE3E0B"/>
    <w:rsid w:val="00CE5748"/>
    <w:rsid w:val="00CE6DDA"/>
    <w:rsid w:val="00CE7924"/>
    <w:rsid w:val="00CF0603"/>
    <w:rsid w:val="00CF1657"/>
    <w:rsid w:val="00CF2371"/>
    <w:rsid w:val="00CF276E"/>
    <w:rsid w:val="00CF6D4F"/>
    <w:rsid w:val="00CF7BBA"/>
    <w:rsid w:val="00D01090"/>
    <w:rsid w:val="00D01575"/>
    <w:rsid w:val="00D01591"/>
    <w:rsid w:val="00D0185F"/>
    <w:rsid w:val="00D01903"/>
    <w:rsid w:val="00D0223E"/>
    <w:rsid w:val="00D03FFA"/>
    <w:rsid w:val="00D04A2D"/>
    <w:rsid w:val="00D06799"/>
    <w:rsid w:val="00D100C5"/>
    <w:rsid w:val="00D11223"/>
    <w:rsid w:val="00D1381A"/>
    <w:rsid w:val="00D14428"/>
    <w:rsid w:val="00D16ADA"/>
    <w:rsid w:val="00D2126C"/>
    <w:rsid w:val="00D21373"/>
    <w:rsid w:val="00D226C8"/>
    <w:rsid w:val="00D22B01"/>
    <w:rsid w:val="00D23C26"/>
    <w:rsid w:val="00D26265"/>
    <w:rsid w:val="00D26778"/>
    <w:rsid w:val="00D267A2"/>
    <w:rsid w:val="00D27DFE"/>
    <w:rsid w:val="00D317F8"/>
    <w:rsid w:val="00D31922"/>
    <w:rsid w:val="00D32C0E"/>
    <w:rsid w:val="00D32EBD"/>
    <w:rsid w:val="00D33D30"/>
    <w:rsid w:val="00D342CF"/>
    <w:rsid w:val="00D342EC"/>
    <w:rsid w:val="00D3701C"/>
    <w:rsid w:val="00D3738D"/>
    <w:rsid w:val="00D4290F"/>
    <w:rsid w:val="00D42AF7"/>
    <w:rsid w:val="00D449A1"/>
    <w:rsid w:val="00D457A9"/>
    <w:rsid w:val="00D46EAE"/>
    <w:rsid w:val="00D5010F"/>
    <w:rsid w:val="00D508AF"/>
    <w:rsid w:val="00D55FCA"/>
    <w:rsid w:val="00D611F9"/>
    <w:rsid w:val="00D62D4C"/>
    <w:rsid w:val="00D67507"/>
    <w:rsid w:val="00D67632"/>
    <w:rsid w:val="00D67AF3"/>
    <w:rsid w:val="00D70021"/>
    <w:rsid w:val="00D70C86"/>
    <w:rsid w:val="00D73883"/>
    <w:rsid w:val="00D75D37"/>
    <w:rsid w:val="00D76C52"/>
    <w:rsid w:val="00D770DD"/>
    <w:rsid w:val="00D77B4C"/>
    <w:rsid w:val="00D810F9"/>
    <w:rsid w:val="00D822B2"/>
    <w:rsid w:val="00D82D32"/>
    <w:rsid w:val="00D835AE"/>
    <w:rsid w:val="00D85435"/>
    <w:rsid w:val="00D85ED6"/>
    <w:rsid w:val="00D8686D"/>
    <w:rsid w:val="00D91CB2"/>
    <w:rsid w:val="00D923ED"/>
    <w:rsid w:val="00D92C20"/>
    <w:rsid w:val="00D94AE8"/>
    <w:rsid w:val="00D963DB"/>
    <w:rsid w:val="00DA0900"/>
    <w:rsid w:val="00DA636E"/>
    <w:rsid w:val="00DA7E88"/>
    <w:rsid w:val="00DB2480"/>
    <w:rsid w:val="00DB50C3"/>
    <w:rsid w:val="00DB545D"/>
    <w:rsid w:val="00DB5F94"/>
    <w:rsid w:val="00DB6390"/>
    <w:rsid w:val="00DC1516"/>
    <w:rsid w:val="00DC250C"/>
    <w:rsid w:val="00DC366A"/>
    <w:rsid w:val="00DC3B2E"/>
    <w:rsid w:val="00DC4FCF"/>
    <w:rsid w:val="00DC6ACA"/>
    <w:rsid w:val="00DC7F2A"/>
    <w:rsid w:val="00DD153D"/>
    <w:rsid w:val="00DD4547"/>
    <w:rsid w:val="00DD5F1E"/>
    <w:rsid w:val="00DD64E9"/>
    <w:rsid w:val="00DD6643"/>
    <w:rsid w:val="00DD6965"/>
    <w:rsid w:val="00DD6C03"/>
    <w:rsid w:val="00DD6DD3"/>
    <w:rsid w:val="00DD6FF2"/>
    <w:rsid w:val="00DD7DC5"/>
    <w:rsid w:val="00DE39C2"/>
    <w:rsid w:val="00DE3D5A"/>
    <w:rsid w:val="00DE4D5A"/>
    <w:rsid w:val="00DF1503"/>
    <w:rsid w:val="00DF1552"/>
    <w:rsid w:val="00DF20FB"/>
    <w:rsid w:val="00DF2E8C"/>
    <w:rsid w:val="00DF3D37"/>
    <w:rsid w:val="00DF4118"/>
    <w:rsid w:val="00DF69E2"/>
    <w:rsid w:val="00E0049D"/>
    <w:rsid w:val="00E00550"/>
    <w:rsid w:val="00E01E18"/>
    <w:rsid w:val="00E10840"/>
    <w:rsid w:val="00E11A77"/>
    <w:rsid w:val="00E1645F"/>
    <w:rsid w:val="00E168CA"/>
    <w:rsid w:val="00E176D6"/>
    <w:rsid w:val="00E23AFD"/>
    <w:rsid w:val="00E32187"/>
    <w:rsid w:val="00E32A4E"/>
    <w:rsid w:val="00E3381D"/>
    <w:rsid w:val="00E347A0"/>
    <w:rsid w:val="00E37AC3"/>
    <w:rsid w:val="00E434CE"/>
    <w:rsid w:val="00E53A5F"/>
    <w:rsid w:val="00E54BF3"/>
    <w:rsid w:val="00E57215"/>
    <w:rsid w:val="00E62955"/>
    <w:rsid w:val="00E63DDD"/>
    <w:rsid w:val="00E646AC"/>
    <w:rsid w:val="00E64ADE"/>
    <w:rsid w:val="00E675CF"/>
    <w:rsid w:val="00E67783"/>
    <w:rsid w:val="00E7066C"/>
    <w:rsid w:val="00E72953"/>
    <w:rsid w:val="00E7506C"/>
    <w:rsid w:val="00E757EC"/>
    <w:rsid w:val="00E75CD0"/>
    <w:rsid w:val="00E77DB9"/>
    <w:rsid w:val="00E827E4"/>
    <w:rsid w:val="00E82EB4"/>
    <w:rsid w:val="00E8709C"/>
    <w:rsid w:val="00E91579"/>
    <w:rsid w:val="00E91A8D"/>
    <w:rsid w:val="00E938E2"/>
    <w:rsid w:val="00E94AA6"/>
    <w:rsid w:val="00E95299"/>
    <w:rsid w:val="00E95A5A"/>
    <w:rsid w:val="00E97429"/>
    <w:rsid w:val="00E974BC"/>
    <w:rsid w:val="00EA0878"/>
    <w:rsid w:val="00EA08FC"/>
    <w:rsid w:val="00EA3E60"/>
    <w:rsid w:val="00EA53BC"/>
    <w:rsid w:val="00EA5CF6"/>
    <w:rsid w:val="00EA6CE3"/>
    <w:rsid w:val="00EA7175"/>
    <w:rsid w:val="00EB06AB"/>
    <w:rsid w:val="00EB133C"/>
    <w:rsid w:val="00EB1AAC"/>
    <w:rsid w:val="00EB53A5"/>
    <w:rsid w:val="00EB772E"/>
    <w:rsid w:val="00EB79AD"/>
    <w:rsid w:val="00EC0479"/>
    <w:rsid w:val="00EC2334"/>
    <w:rsid w:val="00EC36F8"/>
    <w:rsid w:val="00EC445A"/>
    <w:rsid w:val="00EC51FC"/>
    <w:rsid w:val="00EC6522"/>
    <w:rsid w:val="00EC6D36"/>
    <w:rsid w:val="00ED1D33"/>
    <w:rsid w:val="00ED212E"/>
    <w:rsid w:val="00ED27A5"/>
    <w:rsid w:val="00ED56B1"/>
    <w:rsid w:val="00ED6E48"/>
    <w:rsid w:val="00ED7F59"/>
    <w:rsid w:val="00EE5CE3"/>
    <w:rsid w:val="00EF21D1"/>
    <w:rsid w:val="00EF33F5"/>
    <w:rsid w:val="00EF3950"/>
    <w:rsid w:val="00EF58F9"/>
    <w:rsid w:val="00EF5C6F"/>
    <w:rsid w:val="00EF63E6"/>
    <w:rsid w:val="00EF648D"/>
    <w:rsid w:val="00EF7336"/>
    <w:rsid w:val="00F008EE"/>
    <w:rsid w:val="00F014F0"/>
    <w:rsid w:val="00F027F8"/>
    <w:rsid w:val="00F0428D"/>
    <w:rsid w:val="00F0473A"/>
    <w:rsid w:val="00F04F74"/>
    <w:rsid w:val="00F057B6"/>
    <w:rsid w:val="00F05945"/>
    <w:rsid w:val="00F065A8"/>
    <w:rsid w:val="00F075CF"/>
    <w:rsid w:val="00F11B13"/>
    <w:rsid w:val="00F12275"/>
    <w:rsid w:val="00F12536"/>
    <w:rsid w:val="00F12927"/>
    <w:rsid w:val="00F131AE"/>
    <w:rsid w:val="00F13C99"/>
    <w:rsid w:val="00F13E90"/>
    <w:rsid w:val="00F1491A"/>
    <w:rsid w:val="00F22834"/>
    <w:rsid w:val="00F235E3"/>
    <w:rsid w:val="00F24358"/>
    <w:rsid w:val="00F247EA"/>
    <w:rsid w:val="00F3273C"/>
    <w:rsid w:val="00F32902"/>
    <w:rsid w:val="00F32996"/>
    <w:rsid w:val="00F33177"/>
    <w:rsid w:val="00F356E8"/>
    <w:rsid w:val="00F37261"/>
    <w:rsid w:val="00F40C71"/>
    <w:rsid w:val="00F440C4"/>
    <w:rsid w:val="00F47A70"/>
    <w:rsid w:val="00F50134"/>
    <w:rsid w:val="00F517C3"/>
    <w:rsid w:val="00F53225"/>
    <w:rsid w:val="00F53CD8"/>
    <w:rsid w:val="00F56FAC"/>
    <w:rsid w:val="00F57082"/>
    <w:rsid w:val="00F570A5"/>
    <w:rsid w:val="00F57BDB"/>
    <w:rsid w:val="00F57F86"/>
    <w:rsid w:val="00F61A98"/>
    <w:rsid w:val="00F64931"/>
    <w:rsid w:val="00F65330"/>
    <w:rsid w:val="00F66683"/>
    <w:rsid w:val="00F67122"/>
    <w:rsid w:val="00F6790C"/>
    <w:rsid w:val="00F73387"/>
    <w:rsid w:val="00F8268F"/>
    <w:rsid w:val="00F831AD"/>
    <w:rsid w:val="00F83948"/>
    <w:rsid w:val="00F84C1C"/>
    <w:rsid w:val="00F84C29"/>
    <w:rsid w:val="00F86A56"/>
    <w:rsid w:val="00F87571"/>
    <w:rsid w:val="00F94AF7"/>
    <w:rsid w:val="00F95C09"/>
    <w:rsid w:val="00F96152"/>
    <w:rsid w:val="00FA2576"/>
    <w:rsid w:val="00FA28E2"/>
    <w:rsid w:val="00FA4490"/>
    <w:rsid w:val="00FA56C0"/>
    <w:rsid w:val="00FB02A9"/>
    <w:rsid w:val="00FB0A76"/>
    <w:rsid w:val="00FB4BC6"/>
    <w:rsid w:val="00FB7BA5"/>
    <w:rsid w:val="00FB7E9B"/>
    <w:rsid w:val="00FC20D2"/>
    <w:rsid w:val="00FC23E7"/>
    <w:rsid w:val="00FC33F7"/>
    <w:rsid w:val="00FC4028"/>
    <w:rsid w:val="00FC4643"/>
    <w:rsid w:val="00FC7967"/>
    <w:rsid w:val="00FD1D0E"/>
    <w:rsid w:val="00FD323A"/>
    <w:rsid w:val="00FD528D"/>
    <w:rsid w:val="00FD67DD"/>
    <w:rsid w:val="00FE08BF"/>
    <w:rsid w:val="00FE0D30"/>
    <w:rsid w:val="00FE1549"/>
    <w:rsid w:val="00FE28F1"/>
    <w:rsid w:val="00FE2987"/>
    <w:rsid w:val="00FE30B8"/>
    <w:rsid w:val="00FE3C3A"/>
    <w:rsid w:val="00FF0402"/>
    <w:rsid w:val="00FF4796"/>
    <w:rsid w:val="00FF50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4025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rPr>
  </w:style>
  <w:style w:type="paragraph" w:styleId="Textkrper2">
    <w:name w:val="Body Text 2"/>
    <w:basedOn w:val="Standard"/>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eastAsia="de-DE"/>
    </w:rPr>
  </w:style>
  <w:style w:type="character" w:customStyle="1" w:styleId="h41">
    <w:name w:val="h41"/>
    <w:rsid w:val="006466E5"/>
    <w:rPr>
      <w:b/>
      <w:bCs/>
      <w:color w:val="19194B"/>
      <w:sz w:val="23"/>
      <w:szCs w:val="23"/>
      <w:bdr w:val="none" w:sz="0" w:space="0" w:color="auto" w:frame="1"/>
    </w:rPr>
  </w:style>
  <w:style w:type="character" w:styleId="Kommentarzeichen">
    <w:name w:val="annotation reference"/>
    <w:basedOn w:val="Absatz-Standardschriftart"/>
    <w:semiHidden/>
    <w:unhideWhenUsed/>
    <w:rsid w:val="00CE0F74"/>
    <w:rPr>
      <w:sz w:val="16"/>
      <w:szCs w:val="16"/>
    </w:rPr>
  </w:style>
  <w:style w:type="paragraph" w:styleId="Kommentartext">
    <w:name w:val="annotation text"/>
    <w:basedOn w:val="Standard"/>
    <w:link w:val="KommentartextZchn"/>
    <w:semiHidden/>
    <w:unhideWhenUsed/>
    <w:rsid w:val="00CE0F74"/>
    <w:rPr>
      <w:sz w:val="20"/>
    </w:rPr>
  </w:style>
  <w:style w:type="character" w:customStyle="1" w:styleId="KommentartextZchn">
    <w:name w:val="Kommentartext Zchn"/>
    <w:basedOn w:val="Absatz-Standardschriftart"/>
    <w:link w:val="Kommentartext"/>
    <w:semiHidden/>
    <w:rsid w:val="00CE0F74"/>
    <w:rPr>
      <w:lang w:val="en-US" w:eastAsia="en-US"/>
    </w:rPr>
  </w:style>
  <w:style w:type="paragraph" w:styleId="Kommentarthema">
    <w:name w:val="annotation subject"/>
    <w:basedOn w:val="Kommentartext"/>
    <w:next w:val="Kommentartext"/>
    <w:link w:val="KommentarthemaZchn"/>
    <w:semiHidden/>
    <w:unhideWhenUsed/>
    <w:rsid w:val="00CE0F74"/>
    <w:rPr>
      <w:b/>
      <w:bCs/>
    </w:rPr>
  </w:style>
  <w:style w:type="character" w:customStyle="1" w:styleId="KommentarthemaZchn">
    <w:name w:val="Kommentarthema Zchn"/>
    <w:basedOn w:val="KommentartextZchn"/>
    <w:link w:val="Kommentarthema"/>
    <w:semiHidden/>
    <w:rsid w:val="00CE0F74"/>
    <w:rPr>
      <w:b/>
      <w:bCs/>
      <w:lang w:val="en-US" w:eastAsia="en-US"/>
    </w:rPr>
  </w:style>
  <w:style w:type="paragraph" w:styleId="berarbeitung">
    <w:name w:val="Revision"/>
    <w:hidden/>
    <w:uiPriority w:val="99"/>
    <w:semiHidden/>
    <w:rsid w:val="00CE0F74"/>
    <w:rPr>
      <w:sz w:val="24"/>
      <w:lang w:eastAsia="en-US"/>
    </w:rPr>
  </w:style>
  <w:style w:type="table" w:styleId="Tabellenraster">
    <w:name w:val="Table Grid"/>
    <w:basedOn w:val="NormaleTabelle"/>
    <w:rsid w:val="00153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92025">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496697514">
      <w:bodyDiv w:val="1"/>
      <w:marLeft w:val="0"/>
      <w:marRight w:val="0"/>
      <w:marTop w:val="0"/>
      <w:marBottom w:val="0"/>
      <w:divBdr>
        <w:top w:val="none" w:sz="0" w:space="0" w:color="auto"/>
        <w:left w:val="none" w:sz="0" w:space="0" w:color="auto"/>
        <w:bottom w:val="none" w:sz="0" w:space="0" w:color="auto"/>
        <w:right w:val="none" w:sz="0" w:space="0" w:color="auto"/>
      </w:divBdr>
    </w:div>
    <w:div w:id="648635412">
      <w:bodyDiv w:val="1"/>
      <w:marLeft w:val="0"/>
      <w:marRight w:val="0"/>
      <w:marTop w:val="0"/>
      <w:marBottom w:val="0"/>
      <w:divBdr>
        <w:top w:val="none" w:sz="0" w:space="0" w:color="auto"/>
        <w:left w:val="none" w:sz="0" w:space="0" w:color="auto"/>
        <w:bottom w:val="none" w:sz="0" w:space="0" w:color="auto"/>
        <w:right w:val="none" w:sz="0" w:space="0" w:color="auto"/>
      </w:divBdr>
    </w:div>
    <w:div w:id="17804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u.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40A589-0F51-4AB7-8A55-EAE5F0A29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1986</Words>
  <Characters>10824</Characters>
  <Application>Microsoft Office Word</Application>
  <DocSecurity>2</DocSecurity>
  <Lines>90</Lines>
  <Paragraphs>25</Paragraphs>
  <ScaleCrop>false</ScaleCrop>
  <HeadingPairs>
    <vt:vector size="2" baseType="variant">
      <vt:variant>
        <vt:lpstr>Titel</vt:lpstr>
      </vt:variant>
      <vt:variant>
        <vt:i4>1</vt:i4>
      </vt:variant>
    </vt:vector>
  </HeadingPairs>
  <TitlesOfParts>
    <vt:vector size="1" baseType="lpstr">
      <vt:lpstr>MTU Aero Engines: Führender Triebwerkshersteller in Deutschland</vt:lpstr>
    </vt:vector>
  </TitlesOfParts>
  <LinksUpToDate>false</LinksUpToDate>
  <CharactersWithSpaces>12785</CharactersWithSpaces>
  <SharedDoc>false</SharedDoc>
  <HLinks>
    <vt:vector size="6" baseType="variant">
      <vt:variant>
        <vt:i4>7864431</vt:i4>
      </vt:variant>
      <vt:variant>
        <vt:i4>0</vt:i4>
      </vt:variant>
      <vt:variant>
        <vt:i4>0</vt:i4>
      </vt:variant>
      <vt:variant>
        <vt:i4>5</vt:i4>
      </vt:variant>
      <vt:variant>
        <vt:lpwstr>http://www.mtu.de/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2009-02-27T06:47:00Z</cp:lastPrinted>
  <dcterms:created xsi:type="dcterms:W3CDTF">2022-02-15T07:36:00Z</dcterms:created>
  <dcterms:modified xsi:type="dcterms:W3CDTF">2022-02-15T09:23:00Z</dcterms:modified>
</cp:coreProperties>
</file>