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8FD21" w14:textId="730ACA0D" w:rsidR="008E350F" w:rsidRDefault="005128EE" w:rsidP="00C51A14">
      <w:pPr>
        <w:tabs>
          <w:tab w:val="left" w:pos="9072"/>
        </w:tabs>
        <w:spacing w:line="300" w:lineRule="exact"/>
        <w:ind w:right="283"/>
        <w:jc w:val="both"/>
        <w:rPr>
          <w:rFonts w:ascii="CorpoS" w:hAnsi="CorpoS"/>
          <w:b/>
          <w:sz w:val="22"/>
          <w:szCs w:val="22"/>
        </w:rPr>
      </w:pPr>
      <w:r>
        <w:rPr>
          <w:rFonts w:ascii="CorpoS" w:hAnsi="CorpoS"/>
          <w:b/>
          <w:sz w:val="22"/>
        </w:rPr>
        <w:t>MTU Aero Engines AG on a profitable growth track in 2022</w:t>
      </w:r>
    </w:p>
    <w:p w14:paraId="1155999B" w14:textId="01CE15E3" w:rsidR="00050992" w:rsidRDefault="008E350F"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rPr>
        <w:t>Earnings forecast exceeded, cash flow forecast fully achieved</w:t>
      </w:r>
    </w:p>
    <w:p w14:paraId="5AF1E707" w14:textId="1A1003B5" w:rsidR="008E350F" w:rsidRPr="00F05D96" w:rsidRDefault="00D2766A"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rPr>
        <w:t>Outlook for 2023: revenue between €6.1 and €6.3 billion, stable adjusted EBIT margin</w:t>
      </w:r>
    </w:p>
    <w:p w14:paraId="1521DEFD" w14:textId="6B6DFEB1" w:rsidR="00931ABE" w:rsidRPr="00D10580" w:rsidRDefault="00931ABE"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rPr>
        <w:t>Executive Board to propose a dividend of €3.20</w:t>
      </w:r>
    </w:p>
    <w:p w14:paraId="1BF295AB" w14:textId="77777777" w:rsidR="00C51A14" w:rsidRPr="006539EF" w:rsidRDefault="00C51A14" w:rsidP="00C51A14">
      <w:pPr>
        <w:tabs>
          <w:tab w:val="left" w:pos="9072"/>
        </w:tabs>
        <w:spacing w:line="300" w:lineRule="exact"/>
        <w:ind w:right="283"/>
        <w:jc w:val="both"/>
        <w:rPr>
          <w:rFonts w:ascii="CorpoS" w:hAnsi="CorpoS"/>
          <w:b/>
          <w:sz w:val="22"/>
          <w:szCs w:val="22"/>
        </w:rPr>
      </w:pPr>
    </w:p>
    <w:p w14:paraId="44648A1A" w14:textId="77777777" w:rsidR="001C4716" w:rsidRPr="00037ADD" w:rsidRDefault="001C4716" w:rsidP="001C4716">
      <w:pPr>
        <w:tabs>
          <w:tab w:val="left" w:pos="7655"/>
          <w:tab w:val="left" w:pos="9072"/>
        </w:tabs>
        <w:spacing w:line="300" w:lineRule="exact"/>
        <w:ind w:right="283"/>
        <w:jc w:val="both"/>
        <w:rPr>
          <w:rFonts w:ascii="CorpoS" w:hAnsi="CorpoS"/>
          <w:i/>
          <w:sz w:val="22"/>
          <w:szCs w:val="22"/>
        </w:rPr>
      </w:pPr>
      <w:r>
        <w:rPr>
          <w:rFonts w:ascii="CorpoS" w:hAnsi="CorpoS"/>
          <w:i/>
          <w:sz w:val="22"/>
        </w:rPr>
        <w:t>– Preliminary figures – pending the approval of the Supervisory Board –</w:t>
      </w:r>
    </w:p>
    <w:p w14:paraId="6012DE23" w14:textId="77777777" w:rsidR="001C4716" w:rsidRPr="006539EF" w:rsidRDefault="001C4716" w:rsidP="00C51A14">
      <w:pPr>
        <w:tabs>
          <w:tab w:val="left" w:pos="9072"/>
        </w:tabs>
        <w:spacing w:line="300" w:lineRule="exact"/>
        <w:ind w:right="283"/>
        <w:jc w:val="both"/>
        <w:rPr>
          <w:rFonts w:ascii="CorpoS" w:hAnsi="CorpoS"/>
          <w:b/>
          <w:sz w:val="22"/>
          <w:szCs w:val="22"/>
        </w:rPr>
      </w:pPr>
    </w:p>
    <w:p w14:paraId="4EE0C49F" w14:textId="42AE23FA" w:rsidR="009D65F9" w:rsidRPr="00294A6C" w:rsidRDefault="00C51A14" w:rsidP="009D65F9">
      <w:pPr>
        <w:tabs>
          <w:tab w:val="left" w:pos="7655"/>
          <w:tab w:val="left" w:pos="9072"/>
        </w:tabs>
        <w:spacing w:line="300" w:lineRule="exact"/>
        <w:ind w:right="283"/>
        <w:jc w:val="both"/>
        <w:rPr>
          <w:rFonts w:ascii="CorpoS" w:hAnsi="CorpoS"/>
          <w:color w:val="FF0000"/>
          <w:sz w:val="22"/>
          <w:szCs w:val="22"/>
        </w:rPr>
      </w:pPr>
      <w:r>
        <w:rPr>
          <w:rFonts w:ascii="CorpoS" w:hAnsi="CorpoS"/>
          <w:sz w:val="22"/>
        </w:rPr>
        <w:t>Munich, February 14, 2023 — MTU Aero Engines AG increased revenue by 27% to €5.3 billion in 2022 (2021: €4.2 billion). The operating profit</w:t>
      </w:r>
      <w:r w:rsidR="00AA674D" w:rsidRPr="00015DC0">
        <w:rPr>
          <w:rStyle w:val="Funotenzeichen"/>
          <w:rFonts w:ascii="CorpoS" w:hAnsi="CorpoS"/>
          <w:b/>
          <w:sz w:val="22"/>
          <w:szCs w:val="22"/>
          <w:lang w:val="de-DE"/>
        </w:rPr>
        <w:footnoteReference w:id="1"/>
      </w:r>
      <w:r>
        <w:rPr>
          <w:rFonts w:ascii="CorpoS" w:hAnsi="CorpoS"/>
          <w:sz w:val="22"/>
        </w:rPr>
        <w:t xml:space="preserve"> increased by 40% from €468 million to €655 million. The adjusted EBIT margin rose from 11.2% in 2021 to 12.3% in 2022. Net income</w:t>
      </w:r>
      <w:r w:rsidR="009D65F9" w:rsidRPr="00015DC0">
        <w:rPr>
          <w:rStyle w:val="Funotenzeichen"/>
          <w:rFonts w:ascii="CorpoS" w:hAnsi="CorpoS"/>
          <w:b/>
          <w:sz w:val="22"/>
          <w:szCs w:val="22"/>
        </w:rPr>
        <w:footnoteReference w:id="2"/>
      </w:r>
      <w:r>
        <w:rPr>
          <w:rFonts w:ascii="CorpoS" w:hAnsi="CorpoS"/>
          <w:sz w:val="22"/>
        </w:rPr>
        <w:t xml:space="preserve"> developed in line with the operating profit and rose 39% to €476 million in 2022 (2021: €342 million).</w:t>
      </w:r>
    </w:p>
    <w:p w14:paraId="1FE3F4C9" w14:textId="77777777" w:rsidR="008E749D" w:rsidRPr="006539EF" w:rsidRDefault="008E749D" w:rsidP="00E53A5F">
      <w:pPr>
        <w:tabs>
          <w:tab w:val="left" w:pos="7655"/>
          <w:tab w:val="left" w:pos="7938"/>
        </w:tabs>
        <w:spacing w:line="300" w:lineRule="exact"/>
        <w:ind w:right="283"/>
        <w:jc w:val="both"/>
        <w:rPr>
          <w:rFonts w:ascii="CorpoS" w:hAnsi="CorpoS"/>
          <w:color w:val="FF0000"/>
          <w:sz w:val="22"/>
          <w:szCs w:val="22"/>
        </w:rPr>
      </w:pPr>
    </w:p>
    <w:p w14:paraId="07328183" w14:textId="5AE766F6" w:rsidR="00F0428D" w:rsidRPr="00294A6C" w:rsidRDefault="009D65F9" w:rsidP="00B357E6">
      <w:pPr>
        <w:tabs>
          <w:tab w:val="left" w:pos="7655"/>
          <w:tab w:val="left" w:pos="7938"/>
        </w:tabs>
        <w:spacing w:line="300" w:lineRule="exact"/>
        <w:ind w:right="283"/>
        <w:jc w:val="both"/>
        <w:rPr>
          <w:rFonts w:ascii="CorpoS" w:hAnsi="CorpoS"/>
          <w:color w:val="FF0000"/>
          <w:sz w:val="22"/>
          <w:szCs w:val="22"/>
        </w:rPr>
      </w:pPr>
      <w:r>
        <w:rPr>
          <w:rFonts w:ascii="CorpoS" w:hAnsi="CorpoS"/>
          <w:sz w:val="22"/>
        </w:rPr>
        <w:t xml:space="preserve">“These figures highlight the profitable growth </w:t>
      </w:r>
      <w:r w:rsidR="001606AF">
        <w:rPr>
          <w:rFonts w:ascii="CorpoS" w:hAnsi="CorpoS"/>
          <w:sz w:val="22"/>
        </w:rPr>
        <w:t xml:space="preserve">path </w:t>
      </w:r>
      <w:r>
        <w:rPr>
          <w:rFonts w:ascii="CorpoS" w:hAnsi="CorpoS"/>
          <w:sz w:val="22"/>
        </w:rPr>
        <w:t xml:space="preserve">of MTU Aero Engines AG in 2022. After the first nine months, we were able to raise our guidance and at year-end we significantly exceeded our earnings forecast and fully achieved our cash flow forecast,” reported Lars Wagner, CEO of MTU Aero Engines AG, when the company presented its preliminary figures on Tuesday, February 14, 2023. At the end of October, MTU forecast </w:t>
      </w:r>
      <w:r w:rsidR="001606AF">
        <w:rPr>
          <w:rFonts w:ascii="CorpoS" w:hAnsi="CorpoS"/>
          <w:sz w:val="22"/>
        </w:rPr>
        <w:t>group</w:t>
      </w:r>
      <w:r>
        <w:rPr>
          <w:rFonts w:ascii="CorpoS" w:hAnsi="CorpoS"/>
          <w:sz w:val="22"/>
        </w:rPr>
        <w:t xml:space="preserve"> revenue </w:t>
      </w:r>
      <w:r w:rsidR="001606AF">
        <w:rPr>
          <w:rFonts w:ascii="CorpoS" w:hAnsi="CorpoS"/>
          <w:sz w:val="22"/>
        </w:rPr>
        <w:t>to</w:t>
      </w:r>
      <w:r>
        <w:rPr>
          <w:rFonts w:ascii="CorpoS" w:hAnsi="CorpoS"/>
          <w:sz w:val="22"/>
        </w:rPr>
        <w:t xml:space="preserve"> be between €5.4 billion and €5.5 billion. Wagner: “Our </w:t>
      </w:r>
      <w:r w:rsidR="00F75BA3">
        <w:rPr>
          <w:rFonts w:ascii="CorpoS" w:hAnsi="CorpoS"/>
          <w:sz w:val="22"/>
        </w:rPr>
        <w:br w:type="textWrapping" w:clear="all"/>
      </w:r>
      <w:r>
        <w:rPr>
          <w:rFonts w:ascii="CorpoS" w:hAnsi="CorpoS"/>
          <w:sz w:val="22"/>
        </w:rPr>
        <w:t>revenue for the year was €5.3 billion, which was slightly below our target, because revenue in both the OEM and the MRO business fell slightly short of our expectations as a result of the volatility of supply chains.” The guidance for adjusted EBIT was an increase in the low thirty-percent range. MTU forecast that adjusted net income would develop in line with the operating profit. “</w:t>
      </w:r>
      <w:r w:rsidR="001606AF">
        <w:rPr>
          <w:rFonts w:ascii="CorpoS" w:hAnsi="CorpoS"/>
          <w:sz w:val="22"/>
        </w:rPr>
        <w:t>Based on the current</w:t>
      </w:r>
      <w:r>
        <w:rPr>
          <w:rFonts w:ascii="CorpoS" w:hAnsi="CorpoS"/>
          <w:sz w:val="22"/>
        </w:rPr>
        <w:t xml:space="preserve"> market outlook, the supply-side situation and the development of exchange rates, we are revising the 2023 revenue and earnings targets issued at our Capital Market Day in November,” said Wagner.</w:t>
      </w:r>
    </w:p>
    <w:p w14:paraId="379F44CC" w14:textId="77777777" w:rsidR="00B357E6" w:rsidRPr="006539EF" w:rsidRDefault="00B357E6" w:rsidP="00B357E6">
      <w:pPr>
        <w:tabs>
          <w:tab w:val="left" w:pos="7655"/>
          <w:tab w:val="left" w:pos="7938"/>
        </w:tabs>
        <w:spacing w:line="300" w:lineRule="exact"/>
        <w:ind w:right="283"/>
        <w:jc w:val="both"/>
        <w:rPr>
          <w:rFonts w:ascii="CorpoS" w:hAnsi="CorpoS"/>
          <w:color w:val="FF0000"/>
          <w:sz w:val="22"/>
          <w:szCs w:val="22"/>
        </w:rPr>
      </w:pPr>
    </w:p>
    <w:p w14:paraId="741F2783" w14:textId="6A5FE41B" w:rsidR="009D65F9" w:rsidRPr="009A2526" w:rsidRDefault="009D65F9" w:rsidP="009D65F9">
      <w:pPr>
        <w:tabs>
          <w:tab w:val="left" w:pos="7655"/>
          <w:tab w:val="left" w:pos="9072"/>
        </w:tabs>
        <w:spacing w:line="300" w:lineRule="exact"/>
        <w:ind w:right="283"/>
        <w:jc w:val="both"/>
        <w:rPr>
          <w:rFonts w:ascii="CorpoS" w:hAnsi="CorpoS"/>
          <w:b/>
          <w:sz w:val="22"/>
          <w:szCs w:val="22"/>
        </w:rPr>
      </w:pPr>
      <w:r>
        <w:rPr>
          <w:rFonts w:ascii="CorpoS" w:hAnsi="CorpoS"/>
          <w:b/>
          <w:sz w:val="22"/>
        </w:rPr>
        <w:t>Outlook for 2023</w:t>
      </w:r>
    </w:p>
    <w:p w14:paraId="4FDCF425" w14:textId="46AB4B7A" w:rsidR="00EF769E" w:rsidRPr="00EF769E" w:rsidRDefault="009450E1" w:rsidP="005C6C40">
      <w:pPr>
        <w:tabs>
          <w:tab w:val="left" w:pos="7655"/>
          <w:tab w:val="left" w:pos="9072"/>
        </w:tabs>
        <w:spacing w:line="300" w:lineRule="exact"/>
        <w:ind w:right="283"/>
        <w:jc w:val="both"/>
        <w:rPr>
          <w:rFonts w:ascii="CorpoS" w:hAnsi="CorpoS"/>
          <w:sz w:val="22"/>
          <w:szCs w:val="22"/>
        </w:rPr>
      </w:pPr>
      <w:r>
        <w:rPr>
          <w:rFonts w:ascii="CorpoS" w:hAnsi="CorpoS"/>
          <w:sz w:val="22"/>
        </w:rPr>
        <w:t>MTU expects to report revenue of between €6.1 billion and €6.3 billion in 2023. In November 2022, it forecast that revenue would be between €6.4 billion and €6.6 billion. “The revised guidance is mainly due to a change in our assumption on the US dollar exchange rate,” explained Wagner. MTU’s forecast is now based on a U.S. dollar/euro exchange rate of 1.10 per euro instead of the previous assumption of 1.05. Commercial series business is expected to post the highest revenue</w:t>
      </w:r>
      <w:r w:rsidR="0030184A" w:rsidRPr="0030184A">
        <w:rPr>
          <w:rFonts w:ascii="CorpoS" w:hAnsi="CorpoS"/>
          <w:sz w:val="22"/>
        </w:rPr>
        <w:t xml:space="preserve"> </w:t>
      </w:r>
      <w:r w:rsidR="0030184A">
        <w:rPr>
          <w:rFonts w:ascii="CorpoS" w:hAnsi="CorpoS"/>
          <w:sz w:val="22"/>
        </w:rPr>
        <w:t>increase</w:t>
      </w:r>
      <w:r>
        <w:rPr>
          <w:rFonts w:ascii="CorpoS" w:hAnsi="CorpoS"/>
          <w:sz w:val="22"/>
        </w:rPr>
        <w:t xml:space="preserve">, with organic revenue growth </w:t>
      </w:r>
      <w:r w:rsidR="001606AF">
        <w:rPr>
          <w:rFonts w:ascii="CorpoS" w:hAnsi="CorpoS"/>
          <w:sz w:val="22"/>
        </w:rPr>
        <w:t>being up</w:t>
      </w:r>
      <w:r>
        <w:rPr>
          <w:rFonts w:ascii="CorpoS" w:hAnsi="CorpoS"/>
          <w:sz w:val="22"/>
        </w:rPr>
        <w:t xml:space="preserve"> around 30%. In the spare parts business, organic revenue growth should be in the high teens- to low twenty-percent range in 2023. In the commercial maintenance business, organic revenue growth is expected to be in the high teens percentage range. All three forecasts are unchanged. In the military business, catch-up effects and the start of work on the Next European Fighter Engine should generate higher revenue than previously anticipated: MTU is projecting </w:t>
      </w:r>
      <w:r w:rsidR="0030184A">
        <w:rPr>
          <w:rFonts w:ascii="CorpoS" w:hAnsi="CorpoS"/>
          <w:sz w:val="22"/>
        </w:rPr>
        <w:t>revenue</w:t>
      </w:r>
      <w:r>
        <w:rPr>
          <w:rFonts w:ascii="CorpoS" w:hAnsi="CorpoS"/>
          <w:sz w:val="22"/>
        </w:rPr>
        <w:t xml:space="preserve"> growth of around 10 percent. So far, it assumed an increase in the </w:t>
      </w:r>
      <w:proofErr w:type="spellStart"/>
      <w:r>
        <w:rPr>
          <w:rFonts w:ascii="CorpoS" w:hAnsi="CorpoS"/>
          <w:sz w:val="22"/>
        </w:rPr>
        <w:t>mid single</w:t>
      </w:r>
      <w:proofErr w:type="spellEnd"/>
      <w:r>
        <w:rPr>
          <w:rFonts w:ascii="CorpoS" w:hAnsi="CorpoS"/>
          <w:sz w:val="22"/>
        </w:rPr>
        <w:t>-digit percentage range. Based on these assumptions, MTU has detail</w:t>
      </w:r>
      <w:r w:rsidR="0030184A">
        <w:rPr>
          <w:rFonts w:ascii="CorpoS" w:hAnsi="CorpoS"/>
          <w:sz w:val="22"/>
        </w:rPr>
        <w:t>ed</w:t>
      </w:r>
      <w:r>
        <w:rPr>
          <w:rFonts w:ascii="CorpoS" w:hAnsi="CorpoS"/>
          <w:sz w:val="22"/>
        </w:rPr>
        <w:t xml:space="preserve"> its EBIT forecast and now expects </w:t>
      </w:r>
      <w:r w:rsidR="001606AF">
        <w:rPr>
          <w:rFonts w:ascii="CorpoS" w:hAnsi="CorpoS"/>
          <w:sz w:val="22"/>
        </w:rPr>
        <w:t>a stable</w:t>
      </w:r>
      <w:r>
        <w:rPr>
          <w:rFonts w:ascii="CorpoS" w:hAnsi="CorpoS"/>
          <w:sz w:val="22"/>
        </w:rPr>
        <w:t xml:space="preserve"> adjusted EBIT margin in </w:t>
      </w:r>
      <w:r>
        <w:rPr>
          <w:rFonts w:ascii="CorpoS" w:hAnsi="CorpoS"/>
          <w:sz w:val="22"/>
        </w:rPr>
        <w:lastRenderedPageBreak/>
        <w:t xml:space="preserve">2023. Its previous guidance was for an increase in adjusted EBIT in the low twenty-percent range. </w:t>
      </w:r>
      <w:r w:rsidR="00AE70E5">
        <w:rPr>
          <w:rFonts w:ascii="CorpoS" w:hAnsi="CorpoS"/>
          <w:sz w:val="22"/>
        </w:rPr>
        <w:br w:type="textWrapping" w:clear="all"/>
      </w:r>
      <w:r>
        <w:rPr>
          <w:rFonts w:ascii="CorpoS" w:hAnsi="CorpoS"/>
          <w:sz w:val="22"/>
        </w:rPr>
        <w:t>Wagner detailed the mid-term outlook: “We want to continue to grow beyond 2023. Our target formula is 8 – 1 – 25, in other words: revenue of €8 billion and earnings of €1 billion in 2025.”</w:t>
      </w:r>
    </w:p>
    <w:p w14:paraId="75264EE5" w14:textId="77777777" w:rsidR="00830EF7" w:rsidRPr="006539EF" w:rsidRDefault="00830EF7" w:rsidP="005C6C40">
      <w:pPr>
        <w:tabs>
          <w:tab w:val="left" w:pos="7655"/>
          <w:tab w:val="left" w:pos="9072"/>
        </w:tabs>
        <w:spacing w:line="300" w:lineRule="exact"/>
        <w:ind w:right="283"/>
        <w:jc w:val="both"/>
        <w:rPr>
          <w:rFonts w:ascii="CorpoS" w:hAnsi="CorpoS"/>
          <w:color w:val="FF0000"/>
          <w:sz w:val="22"/>
          <w:szCs w:val="22"/>
        </w:rPr>
      </w:pPr>
    </w:p>
    <w:p w14:paraId="722637B2" w14:textId="2D3FB468" w:rsidR="009D65F9" w:rsidRPr="00F708C6" w:rsidRDefault="009D65F9" w:rsidP="009D65F9">
      <w:pPr>
        <w:tabs>
          <w:tab w:val="left" w:pos="7655"/>
          <w:tab w:val="left" w:pos="7938"/>
        </w:tabs>
        <w:spacing w:line="300" w:lineRule="exact"/>
        <w:ind w:right="283"/>
        <w:jc w:val="both"/>
        <w:rPr>
          <w:rFonts w:ascii="CorpoS" w:hAnsi="CorpoS"/>
          <w:b/>
          <w:sz w:val="22"/>
          <w:szCs w:val="22"/>
        </w:rPr>
      </w:pPr>
      <w:r>
        <w:rPr>
          <w:rFonts w:ascii="CorpoS" w:hAnsi="CorpoS"/>
          <w:b/>
          <w:sz w:val="22"/>
        </w:rPr>
        <w:t>Higher revenue in the OEM and MRO businesses</w:t>
      </w:r>
    </w:p>
    <w:p w14:paraId="30594495" w14:textId="77777777" w:rsidR="00F708C6" w:rsidRPr="00F708C6" w:rsidRDefault="00F708C6" w:rsidP="00EF63E6">
      <w:pPr>
        <w:spacing w:line="300" w:lineRule="exact"/>
        <w:ind w:right="283"/>
        <w:jc w:val="both"/>
        <w:rPr>
          <w:rFonts w:ascii="CorpoS" w:hAnsi="CorpoS"/>
          <w:sz w:val="22"/>
          <w:szCs w:val="22"/>
        </w:rPr>
      </w:pPr>
      <w:r>
        <w:rPr>
          <w:rFonts w:ascii="CorpoS" w:hAnsi="CorpoS"/>
          <w:sz w:val="22"/>
        </w:rPr>
        <w:t>MTU grew revenue in both the OEM business and the MRO business in 2022.</w:t>
      </w:r>
    </w:p>
    <w:p w14:paraId="45EF5B6D" w14:textId="77777777" w:rsidR="00F708C6" w:rsidRPr="006539EF" w:rsidRDefault="00F708C6" w:rsidP="00EF63E6">
      <w:pPr>
        <w:spacing w:line="300" w:lineRule="exact"/>
        <w:ind w:right="283"/>
        <w:jc w:val="both"/>
        <w:rPr>
          <w:rFonts w:ascii="CorpoS" w:hAnsi="CorpoS"/>
          <w:sz w:val="22"/>
          <w:szCs w:val="22"/>
        </w:rPr>
      </w:pPr>
    </w:p>
    <w:p w14:paraId="7C4ECF2E" w14:textId="7ECA6ED1" w:rsidR="00F708C6" w:rsidRDefault="00F708C6" w:rsidP="00F708C6">
      <w:pPr>
        <w:spacing w:line="300" w:lineRule="exact"/>
        <w:ind w:right="283"/>
        <w:jc w:val="both"/>
        <w:rPr>
          <w:rFonts w:ascii="CorpoS" w:hAnsi="CorpoS"/>
          <w:sz w:val="22"/>
          <w:szCs w:val="22"/>
        </w:rPr>
      </w:pPr>
      <w:r>
        <w:rPr>
          <w:rFonts w:ascii="CorpoS" w:hAnsi="CorpoS"/>
          <w:sz w:val="22"/>
        </w:rPr>
        <w:t xml:space="preserve">The highest revenue growth was 32% to €3.6 billion in commercial maintenance (2021: €2.7 billion). Around 70% of the revenue mix was work in MTU’s core MRO business and around 30% comprised maintenance work on the Geared Turbofan™. “On a dollar basis, MRO reported a 17% rise in revenue, which was not quite as strong as had been anticipated. That was due to longer </w:t>
      </w:r>
      <w:r w:rsidR="0030184A">
        <w:rPr>
          <w:rFonts w:ascii="CorpoS" w:hAnsi="CorpoS"/>
          <w:sz w:val="22"/>
        </w:rPr>
        <w:t>turnaround</w:t>
      </w:r>
      <w:r>
        <w:rPr>
          <w:rFonts w:ascii="CorpoS" w:hAnsi="CorpoS"/>
          <w:sz w:val="22"/>
        </w:rPr>
        <w:t xml:space="preserve"> times in commercial maintenance,” reported CFO Peter </w:t>
      </w:r>
      <w:proofErr w:type="spellStart"/>
      <w:r>
        <w:rPr>
          <w:rFonts w:ascii="CorpoS" w:hAnsi="CorpoS"/>
          <w:sz w:val="22"/>
        </w:rPr>
        <w:t>Kameritsch</w:t>
      </w:r>
      <w:proofErr w:type="spellEnd"/>
      <w:r>
        <w:rPr>
          <w:rFonts w:ascii="CorpoS" w:hAnsi="CorpoS"/>
          <w:sz w:val="22"/>
        </w:rPr>
        <w:t xml:space="preserve">. MTU had expected organic revenue growth of around 20% in the commercial maintenance business. The main revenue drivers in </w:t>
      </w:r>
      <w:r w:rsidR="0030184A">
        <w:rPr>
          <w:rFonts w:ascii="CorpoS" w:hAnsi="CorpoS"/>
          <w:sz w:val="22"/>
        </w:rPr>
        <w:t>this business were the PW1100G-J</w:t>
      </w:r>
      <w:r>
        <w:rPr>
          <w:rFonts w:ascii="CorpoS" w:hAnsi="CorpoS"/>
          <w:sz w:val="22"/>
        </w:rPr>
        <w:t>M engine for the A320neo and the V2500, which is used in the classic A320.</w:t>
      </w:r>
    </w:p>
    <w:p w14:paraId="5AFC4CDE" w14:textId="1C1DD457" w:rsidR="00F708C6" w:rsidRPr="006539EF" w:rsidRDefault="00F708C6" w:rsidP="00F708C6">
      <w:pPr>
        <w:spacing w:line="300" w:lineRule="exact"/>
        <w:ind w:right="283"/>
        <w:jc w:val="both"/>
        <w:rPr>
          <w:rFonts w:ascii="CorpoS" w:hAnsi="CorpoS"/>
          <w:sz w:val="22"/>
          <w:szCs w:val="22"/>
        </w:rPr>
      </w:pPr>
    </w:p>
    <w:p w14:paraId="1C4CD9A3" w14:textId="77777777" w:rsidR="00F708C6" w:rsidRDefault="00F708C6" w:rsidP="00F708C6">
      <w:pPr>
        <w:spacing w:line="300" w:lineRule="exact"/>
        <w:ind w:right="283"/>
        <w:jc w:val="both"/>
        <w:rPr>
          <w:rFonts w:ascii="CorpoS" w:hAnsi="CorpoS"/>
          <w:sz w:val="22"/>
          <w:szCs w:val="22"/>
        </w:rPr>
      </w:pPr>
      <w:r>
        <w:rPr>
          <w:rFonts w:ascii="CorpoS" w:hAnsi="CorpoS"/>
          <w:sz w:val="22"/>
        </w:rPr>
        <w:t>In the OEM business, revenue rose 18% to €1.8 billion (2021: €1.5 billion).</w:t>
      </w:r>
    </w:p>
    <w:p w14:paraId="5548A079" w14:textId="77777777" w:rsidR="00F708C6" w:rsidRPr="006539EF" w:rsidRDefault="00F708C6" w:rsidP="00F708C6">
      <w:pPr>
        <w:spacing w:line="300" w:lineRule="exact"/>
        <w:ind w:right="283"/>
        <w:jc w:val="both"/>
        <w:rPr>
          <w:rFonts w:ascii="CorpoS" w:hAnsi="CorpoS"/>
          <w:sz w:val="22"/>
          <w:szCs w:val="22"/>
        </w:rPr>
      </w:pPr>
    </w:p>
    <w:p w14:paraId="6315B299" w14:textId="787517F0" w:rsidR="00CB271E" w:rsidRPr="000D78F5" w:rsidRDefault="00B577AA" w:rsidP="00CB271E">
      <w:pPr>
        <w:spacing w:line="300" w:lineRule="exact"/>
        <w:ind w:right="283"/>
        <w:jc w:val="both"/>
        <w:rPr>
          <w:rFonts w:ascii="CorpoS" w:hAnsi="CorpoS"/>
          <w:sz w:val="22"/>
          <w:szCs w:val="22"/>
        </w:rPr>
      </w:pPr>
      <w:r>
        <w:rPr>
          <w:rFonts w:ascii="CorpoS" w:hAnsi="CorpoS"/>
          <w:sz w:val="22"/>
        </w:rPr>
        <w:t xml:space="preserve">Revenue in the commercial engine business increased by 25% to €1.3 billion (2021: €1.1 billion). The most important revenue driver was the PW1100G-JM. Within the commercial engine business, organic revenue growth in the spare parts business was in the high teens percentage range, while in the series business it was in the teens percentage range. “The spare parts business therefore exceeded our </w:t>
      </w:r>
      <w:r w:rsidR="00F75BA3">
        <w:rPr>
          <w:rFonts w:ascii="CorpoS" w:hAnsi="CorpoS"/>
          <w:sz w:val="22"/>
        </w:rPr>
        <w:br w:type="textWrapping" w:clear="all"/>
      </w:r>
      <w:r>
        <w:rPr>
          <w:rFonts w:ascii="CorpoS" w:hAnsi="CorpoS"/>
          <w:sz w:val="22"/>
        </w:rPr>
        <w:t xml:space="preserve">expectations. As well as engines for narrowbodies and cargo aircraft, growth was driven by engines for business jets and the </w:t>
      </w:r>
      <w:proofErr w:type="spellStart"/>
      <w:r>
        <w:rPr>
          <w:rFonts w:ascii="CorpoS" w:hAnsi="CorpoS"/>
          <w:sz w:val="22"/>
        </w:rPr>
        <w:t>GEnx</w:t>
      </w:r>
      <w:proofErr w:type="spellEnd"/>
      <w:r>
        <w:rPr>
          <w:rFonts w:ascii="CorpoS" w:hAnsi="CorpoS"/>
          <w:sz w:val="22"/>
        </w:rPr>
        <w:t xml:space="preserve"> for the Boeing 787 and 747-8,” said </w:t>
      </w:r>
      <w:proofErr w:type="spellStart"/>
      <w:r>
        <w:rPr>
          <w:rFonts w:ascii="CorpoS" w:hAnsi="CorpoS"/>
          <w:sz w:val="22"/>
        </w:rPr>
        <w:t>Kameritsch</w:t>
      </w:r>
      <w:proofErr w:type="spellEnd"/>
      <w:r>
        <w:rPr>
          <w:rFonts w:ascii="CorpoS" w:hAnsi="CorpoS"/>
          <w:sz w:val="22"/>
        </w:rPr>
        <w:t xml:space="preserve">. The commercial series business was dominated by high deliveries of Geared Turbofan™ engines, stable business with business jet engines and </w:t>
      </w:r>
      <w:r w:rsidR="0030184A">
        <w:rPr>
          <w:rFonts w:ascii="CorpoS" w:hAnsi="CorpoS"/>
          <w:sz w:val="22"/>
        </w:rPr>
        <w:t>lower</w:t>
      </w:r>
      <w:r>
        <w:rPr>
          <w:rFonts w:ascii="CorpoS" w:hAnsi="CorpoS"/>
          <w:sz w:val="22"/>
        </w:rPr>
        <w:t xml:space="preserve"> deliveries of the </w:t>
      </w:r>
      <w:proofErr w:type="spellStart"/>
      <w:r>
        <w:rPr>
          <w:rFonts w:ascii="CorpoS" w:hAnsi="CorpoS"/>
          <w:sz w:val="22"/>
        </w:rPr>
        <w:t>GEnx</w:t>
      </w:r>
      <w:proofErr w:type="spellEnd"/>
      <w:r>
        <w:rPr>
          <w:rFonts w:ascii="CorpoS" w:hAnsi="CorpoS"/>
          <w:sz w:val="22"/>
        </w:rPr>
        <w:t xml:space="preserve"> and industrial gas turbines. </w:t>
      </w:r>
    </w:p>
    <w:p w14:paraId="03FD7A6C" w14:textId="77777777" w:rsidR="00F708C6" w:rsidRPr="006539EF" w:rsidRDefault="00F708C6" w:rsidP="00F708C6">
      <w:pPr>
        <w:spacing w:line="300" w:lineRule="exact"/>
        <w:ind w:right="283"/>
        <w:jc w:val="both"/>
        <w:rPr>
          <w:rFonts w:ascii="CorpoS" w:hAnsi="CorpoS"/>
          <w:sz w:val="22"/>
          <w:szCs w:val="22"/>
        </w:rPr>
      </w:pPr>
    </w:p>
    <w:p w14:paraId="5A66E773" w14:textId="0A631E1D" w:rsidR="00F13E90" w:rsidRDefault="00F708C6" w:rsidP="00F13E90">
      <w:pPr>
        <w:spacing w:line="300" w:lineRule="exact"/>
        <w:ind w:right="283"/>
        <w:jc w:val="both"/>
        <w:rPr>
          <w:rFonts w:ascii="CorpoS" w:hAnsi="CorpoS"/>
          <w:sz w:val="22"/>
          <w:szCs w:val="22"/>
        </w:rPr>
      </w:pPr>
      <w:r>
        <w:rPr>
          <w:rFonts w:ascii="CorpoS" w:hAnsi="CorpoS"/>
          <w:sz w:val="22"/>
        </w:rPr>
        <w:t xml:space="preserve">In the military engines business, revenue rose by 3% to €496 million (2021: €482 million) and was therefore below MTU’s guidance, which had assumed a rise in the high single-digit percentage range. </w:t>
      </w:r>
      <w:proofErr w:type="spellStart"/>
      <w:r>
        <w:rPr>
          <w:rFonts w:ascii="CorpoS" w:hAnsi="CorpoS"/>
          <w:sz w:val="22"/>
        </w:rPr>
        <w:t>Kameritsch</w:t>
      </w:r>
      <w:proofErr w:type="spellEnd"/>
      <w:r>
        <w:rPr>
          <w:rFonts w:ascii="CorpoS" w:hAnsi="CorpoS"/>
          <w:sz w:val="22"/>
        </w:rPr>
        <w:t>: “In the military business, delays in the supply chain had an impact, especially in the fourth quarter.” The main revenue driver in the military business was the EJ200 engine for the Eurofighter.</w:t>
      </w:r>
    </w:p>
    <w:p w14:paraId="38CA1778" w14:textId="77777777" w:rsidR="00F13E90" w:rsidRPr="006539EF" w:rsidRDefault="00F13E90" w:rsidP="00F13E90">
      <w:pPr>
        <w:spacing w:line="300" w:lineRule="exact"/>
        <w:ind w:right="283"/>
        <w:jc w:val="both"/>
        <w:rPr>
          <w:rFonts w:ascii="CorpoS" w:hAnsi="CorpoS"/>
          <w:sz w:val="22"/>
          <w:szCs w:val="22"/>
        </w:rPr>
      </w:pPr>
    </w:p>
    <w:p w14:paraId="0E0854D5" w14:textId="5CAE41EE" w:rsidR="009D65F9" w:rsidRPr="00022231" w:rsidRDefault="00022231" w:rsidP="009D65F9">
      <w:pPr>
        <w:tabs>
          <w:tab w:val="left" w:pos="7655"/>
          <w:tab w:val="left" w:pos="7938"/>
        </w:tabs>
        <w:spacing w:line="300" w:lineRule="exact"/>
        <w:ind w:right="283"/>
        <w:jc w:val="both"/>
        <w:rPr>
          <w:rFonts w:ascii="CorpoS" w:hAnsi="CorpoS"/>
          <w:b/>
          <w:sz w:val="22"/>
          <w:szCs w:val="22"/>
        </w:rPr>
      </w:pPr>
      <w:r>
        <w:rPr>
          <w:rFonts w:ascii="CorpoS" w:hAnsi="CorpoS"/>
          <w:b/>
          <w:sz w:val="22"/>
        </w:rPr>
        <w:t>Sustained high order backlog</w:t>
      </w:r>
    </w:p>
    <w:p w14:paraId="11F9C033" w14:textId="001A35B8" w:rsidR="00ED6E48" w:rsidRPr="00B577AA" w:rsidRDefault="00022231" w:rsidP="009D65F9">
      <w:pPr>
        <w:tabs>
          <w:tab w:val="left" w:pos="7655"/>
          <w:tab w:val="left" w:pos="9072"/>
        </w:tabs>
        <w:spacing w:line="300" w:lineRule="exact"/>
        <w:ind w:right="283"/>
        <w:jc w:val="both"/>
        <w:rPr>
          <w:rFonts w:ascii="CorpoS" w:hAnsi="CorpoS"/>
          <w:b/>
          <w:sz w:val="22"/>
          <w:szCs w:val="22"/>
        </w:rPr>
      </w:pPr>
      <w:r>
        <w:rPr>
          <w:rFonts w:ascii="CorpoS" w:hAnsi="CorpoS"/>
          <w:sz w:val="22"/>
        </w:rPr>
        <w:t xml:space="preserve">At year-end 2022, MTU’s order backlog was </w:t>
      </w:r>
      <w:r w:rsidR="0030184A">
        <w:rPr>
          <w:rFonts w:ascii="CorpoS" w:hAnsi="CorpoS"/>
          <w:sz w:val="22"/>
        </w:rPr>
        <w:t>at</w:t>
      </w:r>
      <w:r>
        <w:rPr>
          <w:rFonts w:ascii="CorpoS" w:hAnsi="CorpoS"/>
          <w:sz w:val="22"/>
        </w:rPr>
        <w:t xml:space="preserve"> the prior-year level at €22.3 billion (2021: €22.2 billion). The majority of orders were for Geared Turbofan™ engines for the PW1000G family, especially the PW1100G-JM, and the V2500. Wagner: “This renewed high level is further evidence of the sustained demand for our products. In commercial maintenance, we </w:t>
      </w:r>
      <w:r w:rsidR="009B40AE">
        <w:rPr>
          <w:rFonts w:ascii="CorpoS" w:hAnsi="CorpoS"/>
          <w:sz w:val="22"/>
        </w:rPr>
        <w:t>secured new order wins</w:t>
      </w:r>
      <w:r>
        <w:rPr>
          <w:rFonts w:ascii="CorpoS" w:hAnsi="CorpoS"/>
          <w:sz w:val="22"/>
        </w:rPr>
        <w:t xml:space="preserve"> worth U.S.$3.6 </w:t>
      </w:r>
      <w:r w:rsidR="003E68A3">
        <w:rPr>
          <w:rFonts w:ascii="CorpoS" w:hAnsi="CorpoS"/>
          <w:sz w:val="22"/>
        </w:rPr>
        <w:br w:type="textWrapping" w:clear="all"/>
      </w:r>
      <w:r>
        <w:rPr>
          <w:rFonts w:ascii="CorpoS" w:hAnsi="CorpoS"/>
          <w:sz w:val="22"/>
        </w:rPr>
        <w:t xml:space="preserve">billion in 2022. That reflects the pick-up in air traffic and the confidence placed in us by our customers.”  </w:t>
      </w:r>
    </w:p>
    <w:p w14:paraId="371387A1" w14:textId="5431471E" w:rsidR="00ED6E48" w:rsidRDefault="00ED6E48" w:rsidP="009D65F9">
      <w:pPr>
        <w:tabs>
          <w:tab w:val="left" w:pos="7655"/>
          <w:tab w:val="left" w:pos="9072"/>
        </w:tabs>
        <w:spacing w:line="300" w:lineRule="exact"/>
        <w:ind w:right="283"/>
        <w:jc w:val="both"/>
        <w:rPr>
          <w:rFonts w:ascii="CorpoS" w:hAnsi="CorpoS"/>
          <w:b/>
          <w:color w:val="FF0000"/>
          <w:sz w:val="22"/>
          <w:szCs w:val="22"/>
        </w:rPr>
      </w:pPr>
    </w:p>
    <w:p w14:paraId="018229F6" w14:textId="77777777" w:rsidR="0030184A" w:rsidRPr="006539EF" w:rsidRDefault="0030184A" w:rsidP="009D65F9">
      <w:pPr>
        <w:tabs>
          <w:tab w:val="left" w:pos="7655"/>
          <w:tab w:val="left" w:pos="9072"/>
        </w:tabs>
        <w:spacing w:line="300" w:lineRule="exact"/>
        <w:ind w:right="283"/>
        <w:jc w:val="both"/>
        <w:rPr>
          <w:rFonts w:ascii="CorpoS" w:hAnsi="CorpoS"/>
          <w:b/>
          <w:color w:val="FF0000"/>
          <w:sz w:val="22"/>
          <w:szCs w:val="22"/>
        </w:rPr>
      </w:pPr>
    </w:p>
    <w:p w14:paraId="49099084" w14:textId="77777777" w:rsidR="00C864E3" w:rsidRDefault="009D65F9" w:rsidP="00900007">
      <w:pPr>
        <w:tabs>
          <w:tab w:val="left" w:pos="7655"/>
          <w:tab w:val="left" w:pos="9072"/>
        </w:tabs>
        <w:spacing w:line="300" w:lineRule="exact"/>
        <w:ind w:right="283"/>
        <w:jc w:val="both"/>
        <w:rPr>
          <w:rFonts w:ascii="CorpoS" w:hAnsi="CorpoS"/>
          <w:b/>
          <w:sz w:val="22"/>
          <w:szCs w:val="22"/>
        </w:rPr>
      </w:pPr>
      <w:r>
        <w:rPr>
          <w:rFonts w:ascii="CorpoS" w:hAnsi="CorpoS"/>
          <w:b/>
          <w:sz w:val="22"/>
        </w:rPr>
        <w:lastRenderedPageBreak/>
        <w:t>Earnings hike in commercial maintenance</w:t>
      </w:r>
    </w:p>
    <w:p w14:paraId="034F798C" w14:textId="3F245C22" w:rsidR="0058356F" w:rsidRDefault="00C864E3" w:rsidP="00900007">
      <w:pPr>
        <w:tabs>
          <w:tab w:val="left" w:pos="7655"/>
          <w:tab w:val="left" w:pos="9072"/>
        </w:tabs>
        <w:spacing w:line="300" w:lineRule="exact"/>
        <w:ind w:right="283"/>
        <w:jc w:val="both"/>
        <w:rPr>
          <w:rFonts w:ascii="CorpoS" w:hAnsi="CorpoS"/>
          <w:sz w:val="22"/>
          <w:szCs w:val="22"/>
        </w:rPr>
      </w:pPr>
      <w:r>
        <w:rPr>
          <w:rFonts w:ascii="CorpoS" w:hAnsi="CorpoS"/>
          <w:sz w:val="22"/>
        </w:rPr>
        <w:t xml:space="preserve">In 2022, MTU posted a hike in earnings in the commercial maintenance business. Adjusted EBIT </w:t>
      </w:r>
      <w:r w:rsidR="00F75BA3">
        <w:rPr>
          <w:rFonts w:ascii="CorpoS" w:hAnsi="CorpoS"/>
          <w:sz w:val="22"/>
        </w:rPr>
        <w:br w:type="textWrapping" w:clear="all"/>
      </w:r>
      <w:r>
        <w:rPr>
          <w:rFonts w:ascii="CorpoS" w:hAnsi="CorpoS"/>
          <w:sz w:val="22"/>
        </w:rPr>
        <w:t>increased by 80% from €149 million to €268 million. The adjusted EBIT margin in the MRO business rose from 5.4% to 7.4%.</w:t>
      </w:r>
    </w:p>
    <w:p w14:paraId="2DECB7A2" w14:textId="77777777" w:rsidR="00004957" w:rsidRPr="006539EF" w:rsidRDefault="00004957" w:rsidP="00900007">
      <w:pPr>
        <w:tabs>
          <w:tab w:val="left" w:pos="7655"/>
          <w:tab w:val="left" w:pos="9072"/>
        </w:tabs>
        <w:spacing w:line="300" w:lineRule="exact"/>
        <w:ind w:right="283"/>
        <w:jc w:val="both"/>
        <w:rPr>
          <w:rFonts w:ascii="CorpoS" w:hAnsi="CorpoS"/>
          <w:sz w:val="22"/>
          <w:szCs w:val="22"/>
        </w:rPr>
      </w:pPr>
    </w:p>
    <w:p w14:paraId="007CAEAC" w14:textId="6431843F" w:rsidR="00C864E3" w:rsidRPr="00C864E3" w:rsidRDefault="00C864E3" w:rsidP="00900007">
      <w:pPr>
        <w:tabs>
          <w:tab w:val="left" w:pos="7655"/>
          <w:tab w:val="left" w:pos="9072"/>
        </w:tabs>
        <w:spacing w:line="300" w:lineRule="exact"/>
        <w:ind w:right="283"/>
        <w:jc w:val="both"/>
        <w:rPr>
          <w:rFonts w:ascii="CorpoS" w:hAnsi="CorpoS"/>
          <w:sz w:val="22"/>
          <w:szCs w:val="22"/>
        </w:rPr>
      </w:pPr>
      <w:r>
        <w:rPr>
          <w:rFonts w:ascii="CorpoS" w:hAnsi="CorpoS"/>
          <w:sz w:val="22"/>
        </w:rPr>
        <w:t xml:space="preserve">In the OEM business, earnings were 21% higher at €387 million (2021: €320 million). The adjusted EBIT margin was 21.1%, compared with 20.7% in 2021. </w:t>
      </w:r>
    </w:p>
    <w:p w14:paraId="06D25C9E" w14:textId="77777777" w:rsidR="00C864E3" w:rsidRPr="006539EF" w:rsidRDefault="00C864E3" w:rsidP="00900007">
      <w:pPr>
        <w:tabs>
          <w:tab w:val="left" w:pos="7655"/>
          <w:tab w:val="left" w:pos="9072"/>
        </w:tabs>
        <w:spacing w:line="300" w:lineRule="exact"/>
        <w:ind w:right="283"/>
        <w:jc w:val="both"/>
        <w:rPr>
          <w:rFonts w:ascii="CorpoS" w:hAnsi="CorpoS"/>
          <w:sz w:val="22"/>
          <w:szCs w:val="22"/>
        </w:rPr>
      </w:pPr>
    </w:p>
    <w:p w14:paraId="5B40BE04" w14:textId="74E2581C" w:rsidR="002716B2" w:rsidRPr="00004957" w:rsidRDefault="001A76F2" w:rsidP="002716B2">
      <w:pPr>
        <w:tabs>
          <w:tab w:val="left" w:pos="7655"/>
          <w:tab w:val="left" w:pos="9072"/>
        </w:tabs>
        <w:spacing w:line="300" w:lineRule="exact"/>
        <w:ind w:right="283"/>
        <w:jc w:val="both"/>
        <w:rPr>
          <w:rFonts w:ascii="CorpoS" w:hAnsi="CorpoS"/>
          <w:sz w:val="22"/>
          <w:szCs w:val="22"/>
        </w:rPr>
      </w:pPr>
      <w:proofErr w:type="spellStart"/>
      <w:r>
        <w:rPr>
          <w:rFonts w:ascii="CorpoS" w:hAnsi="CorpoS"/>
          <w:sz w:val="22"/>
        </w:rPr>
        <w:t>Kameritsch</w:t>
      </w:r>
      <w:proofErr w:type="spellEnd"/>
      <w:r>
        <w:rPr>
          <w:rFonts w:ascii="CorpoS" w:hAnsi="CorpoS"/>
          <w:sz w:val="22"/>
        </w:rPr>
        <w:t xml:space="preserve">: “The improvement in the margin in the OEM business was attributable to the </w:t>
      </w:r>
      <w:r w:rsidR="0030184A">
        <w:rPr>
          <w:rFonts w:ascii="CorpoS" w:hAnsi="CorpoS"/>
          <w:sz w:val="22"/>
        </w:rPr>
        <w:t>business</w:t>
      </w:r>
      <w:r>
        <w:rPr>
          <w:rFonts w:ascii="CorpoS" w:hAnsi="CorpoS"/>
          <w:sz w:val="22"/>
        </w:rPr>
        <w:t xml:space="preserve"> mix. In commercial maintenance, the high proportion of </w:t>
      </w:r>
      <w:r w:rsidR="005574F5">
        <w:rPr>
          <w:rFonts w:ascii="CorpoS" w:hAnsi="CorpoS"/>
          <w:sz w:val="22"/>
        </w:rPr>
        <w:t xml:space="preserve">our core </w:t>
      </w:r>
      <w:r>
        <w:rPr>
          <w:rFonts w:ascii="CorpoS" w:hAnsi="CorpoS"/>
          <w:sz w:val="22"/>
        </w:rPr>
        <w:t>MRO business in particular had a positive effect on the margin. Tailwind also came from the strong IGT and CF34 business and the development of the dollar exchange rate.”</w:t>
      </w:r>
    </w:p>
    <w:p w14:paraId="5DC68A4D" w14:textId="77777777" w:rsidR="00412DC5" w:rsidRPr="006539EF" w:rsidRDefault="00412DC5" w:rsidP="009D65F9">
      <w:pPr>
        <w:tabs>
          <w:tab w:val="left" w:pos="7655"/>
          <w:tab w:val="left" w:pos="9072"/>
        </w:tabs>
        <w:spacing w:line="300" w:lineRule="exact"/>
        <w:ind w:right="283"/>
        <w:jc w:val="both"/>
        <w:rPr>
          <w:rFonts w:ascii="CorpoS" w:hAnsi="CorpoS"/>
          <w:color w:val="FF0000"/>
          <w:sz w:val="22"/>
          <w:szCs w:val="22"/>
        </w:rPr>
      </w:pPr>
    </w:p>
    <w:p w14:paraId="24B48690" w14:textId="17B02CCF" w:rsidR="009D65F9" w:rsidRPr="00356E66" w:rsidRDefault="009D65F9" w:rsidP="009D65F9">
      <w:pPr>
        <w:tabs>
          <w:tab w:val="left" w:pos="7655"/>
          <w:tab w:val="left" w:pos="9072"/>
        </w:tabs>
        <w:spacing w:line="300" w:lineRule="exact"/>
        <w:ind w:right="283"/>
        <w:jc w:val="both"/>
        <w:rPr>
          <w:rFonts w:ascii="CorpoS" w:hAnsi="CorpoS"/>
          <w:b/>
          <w:sz w:val="22"/>
          <w:szCs w:val="22"/>
        </w:rPr>
      </w:pPr>
      <w:r>
        <w:rPr>
          <w:rFonts w:ascii="CorpoS" w:hAnsi="CorpoS"/>
          <w:b/>
          <w:sz w:val="22"/>
        </w:rPr>
        <w:t>Dividend proposal on March 21</w:t>
      </w:r>
    </w:p>
    <w:p w14:paraId="3C9B0CF1" w14:textId="6B2F6AAA" w:rsidR="009D65F9" w:rsidRPr="00906481" w:rsidRDefault="009D65F9" w:rsidP="009D65F9">
      <w:pPr>
        <w:tabs>
          <w:tab w:val="left" w:pos="7655"/>
          <w:tab w:val="left" w:pos="9072"/>
        </w:tabs>
        <w:spacing w:line="300" w:lineRule="exact"/>
        <w:ind w:right="283"/>
        <w:jc w:val="both"/>
        <w:rPr>
          <w:rFonts w:ascii="CorpoS" w:hAnsi="CorpoS"/>
          <w:sz w:val="22"/>
          <w:szCs w:val="22"/>
        </w:rPr>
      </w:pPr>
      <w:proofErr w:type="spellStart"/>
      <w:r>
        <w:rPr>
          <w:rFonts w:ascii="CorpoS" w:hAnsi="CorpoS"/>
          <w:sz w:val="22"/>
        </w:rPr>
        <w:t>Kameritsch</w:t>
      </w:r>
      <w:proofErr w:type="spellEnd"/>
      <w:r>
        <w:rPr>
          <w:rFonts w:ascii="CorpoS" w:hAnsi="CorpoS"/>
          <w:sz w:val="22"/>
        </w:rPr>
        <w:t xml:space="preserve"> announced the Executive Board’s dividend proposal: “We would like our shareholders to participate in our good performance by paying them a dividend of €3.20 per share.” This will be put to the Supervisory Board when it meets on March 21 to adopt the financial statements as a recommendation for a resolution at the Annual General Meeting. For 2021, MTU paid a dividend of €2.10 per share.</w:t>
      </w:r>
    </w:p>
    <w:p w14:paraId="234C5018" w14:textId="77777777" w:rsidR="009D65F9" w:rsidRPr="006539EF" w:rsidRDefault="009D65F9" w:rsidP="009D65F9">
      <w:pPr>
        <w:tabs>
          <w:tab w:val="left" w:pos="7655"/>
          <w:tab w:val="left" w:pos="9072"/>
        </w:tabs>
        <w:spacing w:line="300" w:lineRule="exact"/>
        <w:ind w:right="283"/>
        <w:jc w:val="both"/>
        <w:rPr>
          <w:rFonts w:ascii="CorpoS" w:hAnsi="CorpoS"/>
          <w:color w:val="FF0000"/>
          <w:sz w:val="22"/>
          <w:szCs w:val="22"/>
        </w:rPr>
      </w:pPr>
    </w:p>
    <w:p w14:paraId="41A97AB1" w14:textId="77777777" w:rsidR="009D65F9" w:rsidRPr="00356E66" w:rsidRDefault="009D65F9" w:rsidP="009D65F9">
      <w:pPr>
        <w:tabs>
          <w:tab w:val="left" w:pos="7655"/>
          <w:tab w:val="left" w:pos="7938"/>
        </w:tabs>
        <w:spacing w:line="300" w:lineRule="exact"/>
        <w:ind w:right="283"/>
        <w:jc w:val="both"/>
        <w:rPr>
          <w:rFonts w:ascii="CorpoS" w:hAnsi="CorpoS"/>
          <w:b/>
          <w:sz w:val="22"/>
          <w:szCs w:val="22"/>
        </w:rPr>
      </w:pPr>
      <w:r>
        <w:rPr>
          <w:rFonts w:ascii="CorpoS" w:hAnsi="CorpoS"/>
          <w:b/>
          <w:sz w:val="22"/>
        </w:rPr>
        <w:t>Research and development</w:t>
      </w:r>
    </w:p>
    <w:p w14:paraId="021F33A3" w14:textId="1B17CAFD" w:rsidR="009D65F9" w:rsidRPr="009B36D8" w:rsidRDefault="00BE1FE0" w:rsidP="00484D3F">
      <w:pPr>
        <w:tabs>
          <w:tab w:val="left" w:pos="7655"/>
          <w:tab w:val="left" w:pos="7938"/>
        </w:tabs>
        <w:spacing w:line="300" w:lineRule="exact"/>
        <w:ind w:right="283"/>
        <w:jc w:val="both"/>
        <w:rPr>
          <w:rFonts w:ascii="CorpoS" w:hAnsi="CorpoS"/>
          <w:sz w:val="22"/>
          <w:szCs w:val="22"/>
        </w:rPr>
      </w:pPr>
      <w:r>
        <w:rPr>
          <w:rFonts w:ascii="CorpoS" w:hAnsi="CorpoS"/>
          <w:sz w:val="22"/>
        </w:rPr>
        <w:t>€265 million was spen</w:t>
      </w:r>
      <w:r w:rsidR="00513751">
        <w:rPr>
          <w:rFonts w:ascii="CorpoS" w:hAnsi="CorpoS"/>
          <w:sz w:val="22"/>
        </w:rPr>
        <w:t>t</w:t>
      </w:r>
      <w:bookmarkStart w:id="0" w:name="_GoBack"/>
      <w:bookmarkEnd w:id="0"/>
      <w:r>
        <w:rPr>
          <w:rFonts w:ascii="CorpoS" w:hAnsi="CorpoS"/>
          <w:sz w:val="22"/>
        </w:rPr>
        <w:t xml:space="preserve"> on research and development in 2022, 15% more than in 2021 (2021: €230 million). R&amp;D at MTU focuses on enhancing the performance of the Geared Turbofan™ programs, </w:t>
      </w:r>
      <w:r w:rsidR="003E68A3">
        <w:rPr>
          <w:rFonts w:ascii="CorpoS" w:hAnsi="CorpoS"/>
          <w:sz w:val="22"/>
        </w:rPr>
        <w:br w:type="textWrapping" w:clear="all"/>
      </w:r>
      <w:r>
        <w:rPr>
          <w:rFonts w:ascii="CorpoS" w:hAnsi="CorpoS"/>
          <w:sz w:val="22"/>
        </w:rPr>
        <w:t>technology studies for future engine generations, especially hydrogen and flying fuel cells, and expanding capabilities in the area of virtual engines. Wagner gave some examples of future-oriented technology programs: “In 2022, we embarked on the SWITCH project, which combines the MTU Water-Enhanced Turbofan based on the Geared Turbofan™ with hybrid electric drive elements. Moreover, the 1B demonstrator phase for the next generation of European fighter jets started. Together with its partners, MTU’s contribution to this is the Next European Fighter Engine. In this way, we are actively driving forward sustainable, emissions-free aviation and therefore investing in the future of MTU.”</w:t>
      </w:r>
    </w:p>
    <w:p w14:paraId="5AFBE6AE" w14:textId="5E928581" w:rsidR="00484D3F" w:rsidRPr="006539EF" w:rsidRDefault="00484D3F" w:rsidP="00484D3F">
      <w:pPr>
        <w:tabs>
          <w:tab w:val="left" w:pos="7655"/>
          <w:tab w:val="left" w:pos="7938"/>
        </w:tabs>
        <w:spacing w:line="300" w:lineRule="exact"/>
        <w:ind w:right="283"/>
        <w:jc w:val="both"/>
        <w:rPr>
          <w:rFonts w:ascii="CorpoS" w:hAnsi="CorpoS"/>
          <w:sz w:val="22"/>
          <w:szCs w:val="22"/>
        </w:rPr>
      </w:pPr>
    </w:p>
    <w:p w14:paraId="020C9B1B" w14:textId="105FB091" w:rsidR="009D65F9" w:rsidRPr="00356E66" w:rsidRDefault="00666025" w:rsidP="009D65F9">
      <w:pPr>
        <w:tabs>
          <w:tab w:val="left" w:pos="7655"/>
          <w:tab w:val="left" w:pos="9072"/>
        </w:tabs>
        <w:spacing w:line="300" w:lineRule="exact"/>
        <w:ind w:right="283"/>
        <w:jc w:val="both"/>
        <w:rPr>
          <w:rFonts w:ascii="CorpoS" w:hAnsi="CorpoS"/>
          <w:b/>
          <w:sz w:val="22"/>
          <w:szCs w:val="22"/>
        </w:rPr>
      </w:pPr>
      <w:r>
        <w:rPr>
          <w:rFonts w:ascii="CorpoS" w:hAnsi="CorpoS"/>
          <w:b/>
          <w:sz w:val="22"/>
        </w:rPr>
        <w:t>Strong free cash flow</w:t>
      </w:r>
    </w:p>
    <w:p w14:paraId="7D6B7D36" w14:textId="0EF962D4" w:rsidR="009D65F9" w:rsidRPr="00356E66" w:rsidRDefault="00F67122" w:rsidP="00F53225">
      <w:pPr>
        <w:tabs>
          <w:tab w:val="left" w:pos="7655"/>
          <w:tab w:val="left" w:pos="9072"/>
        </w:tabs>
        <w:spacing w:line="300" w:lineRule="exact"/>
        <w:ind w:right="283"/>
        <w:jc w:val="both"/>
        <w:rPr>
          <w:rFonts w:ascii="CorpoS" w:hAnsi="CorpoS"/>
          <w:sz w:val="22"/>
          <w:szCs w:val="22"/>
        </w:rPr>
      </w:pPr>
      <w:r>
        <w:rPr>
          <w:rFonts w:ascii="CorpoS" w:hAnsi="CorpoS"/>
          <w:sz w:val="22"/>
        </w:rPr>
        <w:t xml:space="preserve">The free cash flow increased by 36% to €326 million in 2022 (2021: €240 million). The cash </w:t>
      </w:r>
      <w:r>
        <w:rPr>
          <w:rFonts w:ascii="CorpoS" w:hAnsi="CorpoS"/>
          <w:sz w:val="22"/>
        </w:rPr>
        <w:br w:type="textWrapping" w:clear="all"/>
        <w:t xml:space="preserve">conversion rate was 69%, compared with 70% in 2021. </w:t>
      </w:r>
      <w:proofErr w:type="spellStart"/>
      <w:r>
        <w:rPr>
          <w:rFonts w:ascii="CorpoS" w:hAnsi="CorpoS"/>
          <w:sz w:val="22"/>
        </w:rPr>
        <w:t>Kameritsch</w:t>
      </w:r>
      <w:proofErr w:type="spellEnd"/>
      <w:r>
        <w:rPr>
          <w:rFonts w:ascii="CorpoS" w:hAnsi="CorpoS"/>
          <w:sz w:val="22"/>
        </w:rPr>
        <w:t>: “As well as another strong free cash flow, we fully achieved our target for the year of a cash conversion rate of between 60% and 70%.”</w:t>
      </w:r>
    </w:p>
    <w:p w14:paraId="557E2636" w14:textId="77777777" w:rsidR="008A55CA" w:rsidRPr="006539EF" w:rsidRDefault="008A55CA" w:rsidP="009D65F9">
      <w:pPr>
        <w:tabs>
          <w:tab w:val="left" w:pos="7655"/>
          <w:tab w:val="left" w:pos="7938"/>
        </w:tabs>
        <w:spacing w:line="300" w:lineRule="exact"/>
        <w:ind w:right="283"/>
        <w:jc w:val="both"/>
        <w:rPr>
          <w:rFonts w:ascii="CorpoS" w:hAnsi="CorpoS"/>
          <w:sz w:val="22"/>
          <w:szCs w:val="22"/>
        </w:rPr>
      </w:pPr>
    </w:p>
    <w:p w14:paraId="1FAF7249" w14:textId="77777777" w:rsidR="009D65F9" w:rsidRPr="00992496" w:rsidRDefault="009D65F9" w:rsidP="009D65F9">
      <w:pPr>
        <w:tabs>
          <w:tab w:val="left" w:pos="7655"/>
          <w:tab w:val="left" w:pos="7938"/>
        </w:tabs>
        <w:spacing w:line="300" w:lineRule="exact"/>
        <w:ind w:right="283"/>
        <w:jc w:val="both"/>
        <w:rPr>
          <w:rFonts w:ascii="CorpoS" w:hAnsi="CorpoS"/>
          <w:b/>
          <w:sz w:val="22"/>
          <w:szCs w:val="22"/>
        </w:rPr>
      </w:pPr>
      <w:r>
        <w:rPr>
          <w:rFonts w:ascii="CorpoS" w:hAnsi="CorpoS"/>
          <w:b/>
          <w:sz w:val="22"/>
        </w:rPr>
        <w:t>Property, plant and equipment</w:t>
      </w:r>
    </w:p>
    <w:p w14:paraId="28C02320" w14:textId="70EF4743" w:rsidR="009D65F9" w:rsidRPr="00DB178C" w:rsidRDefault="00666025" w:rsidP="009D65F9">
      <w:pPr>
        <w:tabs>
          <w:tab w:val="left" w:pos="7655"/>
          <w:tab w:val="left" w:pos="9072"/>
        </w:tabs>
        <w:spacing w:line="300" w:lineRule="exact"/>
        <w:ind w:right="283"/>
        <w:jc w:val="both"/>
        <w:rPr>
          <w:rFonts w:ascii="CorpoS" w:hAnsi="CorpoS"/>
          <w:sz w:val="22"/>
          <w:szCs w:val="22"/>
        </w:rPr>
      </w:pPr>
      <w:r>
        <w:rPr>
          <w:rFonts w:ascii="CorpoS" w:hAnsi="CorpoS"/>
          <w:sz w:val="22"/>
        </w:rPr>
        <w:t xml:space="preserve">Net capital expenditure on property, plant and equipment increased by 27% from €241 million to €306 million in 2022. Capital expenditure focused predominantly on building up and expanding production capacity in Munich, Hanover and Serbia, the growing engine leasing business, and automation and </w:t>
      </w:r>
      <w:r w:rsidR="00F75BA3">
        <w:rPr>
          <w:rFonts w:ascii="CorpoS" w:hAnsi="CorpoS"/>
          <w:sz w:val="22"/>
        </w:rPr>
        <w:br w:type="textWrapping" w:clear="all"/>
      </w:r>
      <w:r>
        <w:rPr>
          <w:rFonts w:ascii="CorpoS" w:hAnsi="CorpoS"/>
          <w:sz w:val="22"/>
        </w:rPr>
        <w:lastRenderedPageBreak/>
        <w:t>digitalization projects. “In this way we are safeguarding a renewed production ramp-up and protecting our technology and cost leadership,” said Wagner.</w:t>
      </w:r>
    </w:p>
    <w:p w14:paraId="6358F62A" w14:textId="77777777" w:rsidR="0081427D" w:rsidRPr="006539EF" w:rsidRDefault="0081427D" w:rsidP="009D65F9">
      <w:pPr>
        <w:tabs>
          <w:tab w:val="left" w:pos="7938"/>
        </w:tabs>
        <w:spacing w:after="10" w:line="300" w:lineRule="exact"/>
        <w:ind w:right="284"/>
        <w:jc w:val="both"/>
        <w:rPr>
          <w:rFonts w:ascii="CorpoS" w:eastAsia="SimSun" w:hAnsi="CorpoS"/>
          <w:color w:val="FF0000"/>
          <w:sz w:val="22"/>
          <w:szCs w:val="22"/>
          <w:lang w:eastAsia="zh-CN"/>
        </w:rPr>
      </w:pPr>
    </w:p>
    <w:p w14:paraId="04C67242" w14:textId="5A189DAF" w:rsidR="009D65F9" w:rsidRPr="00992496" w:rsidRDefault="002B4D62" w:rsidP="009D65F9">
      <w:pPr>
        <w:tabs>
          <w:tab w:val="left" w:pos="7938"/>
        </w:tabs>
        <w:spacing w:after="10" w:line="300" w:lineRule="exact"/>
        <w:ind w:right="284"/>
        <w:jc w:val="both"/>
        <w:rPr>
          <w:rFonts w:ascii="CorpoS" w:eastAsia="SimSun" w:hAnsi="CorpoS"/>
          <w:b/>
          <w:sz w:val="22"/>
          <w:szCs w:val="22"/>
        </w:rPr>
      </w:pPr>
      <w:r>
        <w:rPr>
          <w:rFonts w:ascii="CorpoS" w:hAnsi="CorpoS"/>
          <w:b/>
          <w:sz w:val="22"/>
        </w:rPr>
        <w:t>11,273 employees</w:t>
      </w:r>
    </w:p>
    <w:p w14:paraId="4C1A12D6" w14:textId="33E2A076" w:rsidR="009D65F9" w:rsidRPr="000E3C0D" w:rsidRDefault="002B4D62" w:rsidP="009D65F9">
      <w:pPr>
        <w:tabs>
          <w:tab w:val="left" w:pos="7938"/>
        </w:tabs>
        <w:spacing w:after="10" w:line="300" w:lineRule="exact"/>
        <w:ind w:right="284"/>
        <w:jc w:val="both"/>
        <w:rPr>
          <w:rFonts w:ascii="CorpoS" w:eastAsia="SimSun" w:hAnsi="CorpoS"/>
          <w:sz w:val="22"/>
          <w:szCs w:val="22"/>
        </w:rPr>
      </w:pPr>
      <w:r>
        <w:rPr>
          <w:rFonts w:ascii="CorpoS" w:hAnsi="CorpoS"/>
          <w:sz w:val="22"/>
        </w:rPr>
        <w:t>MTU’s workforce increased by 7% to 11,273 employees in 2022 (December 31, 2021: 10,508 employees). The headcount was increased mainly at the locations in Munich, Poland and Serbia. Wagner: “We hope to welcome a similar number of new colleagues to the MTU family in 2023 to drive forward our future-oriented programs and safeguard the future of MTU. As in 2022, new employees are mainly needed in the areas of engineering and digitalization.”</w:t>
      </w:r>
    </w:p>
    <w:p w14:paraId="1F5172D0" w14:textId="48A766C0" w:rsidR="009D65F9" w:rsidRPr="006539EF" w:rsidRDefault="009D65F9" w:rsidP="009D65F9">
      <w:pPr>
        <w:tabs>
          <w:tab w:val="left" w:pos="7655"/>
          <w:tab w:val="left" w:pos="9072"/>
        </w:tabs>
        <w:spacing w:line="300" w:lineRule="exact"/>
        <w:ind w:right="283"/>
        <w:jc w:val="both"/>
        <w:rPr>
          <w:rFonts w:ascii="CorpoS" w:eastAsia="SimSun" w:hAnsi="CorpoS"/>
          <w:sz w:val="22"/>
          <w:szCs w:val="22"/>
          <w:lang w:eastAsia="zh-CN"/>
        </w:rPr>
      </w:pPr>
    </w:p>
    <w:p w14:paraId="12AE4B97" w14:textId="55270E2A" w:rsidR="006D238D" w:rsidRDefault="009D65F9" w:rsidP="006D238D">
      <w:pPr>
        <w:autoSpaceDE w:val="0"/>
        <w:autoSpaceDN w:val="0"/>
        <w:adjustRightInd w:val="0"/>
        <w:spacing w:after="10" w:line="300" w:lineRule="exact"/>
        <w:ind w:right="284"/>
        <w:rPr>
          <w:rFonts w:ascii="CorpoS" w:eastAsia="Times New Roman" w:hAnsi="CorpoS" w:cs="CorpoS"/>
          <w:sz w:val="22"/>
          <w:szCs w:val="22"/>
        </w:rPr>
      </w:pPr>
      <w:r>
        <w:rPr>
          <w:rFonts w:ascii="CorpoS" w:hAnsi="CorpoS"/>
          <w:sz w:val="22"/>
        </w:rPr>
        <w:t>MTU Aero Engines will publish its Annual Report on March 29, 2023.</w:t>
      </w:r>
    </w:p>
    <w:p w14:paraId="3721CBCC" w14:textId="269418E4" w:rsidR="000F3103" w:rsidRPr="006539EF" w:rsidRDefault="000F3103" w:rsidP="006D238D">
      <w:pPr>
        <w:autoSpaceDE w:val="0"/>
        <w:autoSpaceDN w:val="0"/>
        <w:adjustRightInd w:val="0"/>
        <w:spacing w:after="10" w:line="300" w:lineRule="exact"/>
        <w:ind w:right="284"/>
        <w:rPr>
          <w:rFonts w:ascii="CorpoS" w:eastAsia="Times New Roman" w:hAnsi="CorpoS" w:cs="CorpoS"/>
          <w:sz w:val="22"/>
          <w:szCs w:val="22"/>
          <w:lang w:eastAsia="de-DE"/>
        </w:rPr>
      </w:pPr>
    </w:p>
    <w:p w14:paraId="0F700D0D" w14:textId="58B17706" w:rsidR="006539EF" w:rsidRDefault="006539EF" w:rsidP="00B4335E">
      <w:pPr>
        <w:ind w:right="283"/>
        <w:jc w:val="both"/>
        <w:rPr>
          <w:rFonts w:ascii="CorpoS" w:hAnsi="CorpoS"/>
          <w:sz w:val="16"/>
        </w:rPr>
      </w:pPr>
    </w:p>
    <w:p w14:paraId="6DE57C25" w14:textId="77777777" w:rsidR="006539EF" w:rsidRPr="007E6CD3" w:rsidRDefault="006539EF" w:rsidP="006539EF">
      <w:pPr>
        <w:autoSpaceDE w:val="0"/>
        <w:autoSpaceDN w:val="0"/>
        <w:adjustRightInd w:val="0"/>
        <w:spacing w:after="10" w:line="300" w:lineRule="exact"/>
        <w:ind w:right="284"/>
        <w:rPr>
          <w:rFonts w:ascii="CorpoS" w:hAnsi="CorpoS"/>
          <w:b/>
          <w:sz w:val="22"/>
          <w:szCs w:val="22"/>
        </w:rPr>
      </w:pPr>
      <w:r>
        <w:rPr>
          <w:rFonts w:ascii="CorpoS" w:hAnsi="CorpoS"/>
          <w:b/>
          <w:sz w:val="22"/>
        </w:rPr>
        <w:t>MTU Aero Engines – Key financial data for 2022</w:t>
      </w:r>
    </w:p>
    <w:p w14:paraId="6A1C13D3" w14:textId="268DB70C" w:rsidR="006539EF" w:rsidRPr="007E6CD3" w:rsidRDefault="006539EF" w:rsidP="006539EF">
      <w:pPr>
        <w:tabs>
          <w:tab w:val="left" w:pos="7938"/>
        </w:tabs>
        <w:autoSpaceDE w:val="0"/>
        <w:autoSpaceDN w:val="0"/>
        <w:adjustRightInd w:val="0"/>
        <w:ind w:right="283"/>
        <w:rPr>
          <w:rFonts w:ascii="CorpoS" w:hAnsi="CorpoS"/>
          <w:i/>
          <w:sz w:val="18"/>
          <w:szCs w:val="18"/>
          <w:lang w:val="de-DE"/>
        </w:rPr>
      </w:pPr>
      <w:r>
        <w:rPr>
          <w:rFonts w:ascii="CorpoS" w:hAnsi="CorpoS"/>
          <w:i/>
          <w:sz w:val="18"/>
        </w:rPr>
        <w:t>(Amounts in € million)</w:t>
      </w:r>
    </w:p>
    <w:p w14:paraId="52316735" w14:textId="77777777" w:rsidR="006539EF" w:rsidRPr="007E6CD3" w:rsidRDefault="006539EF" w:rsidP="006539EF">
      <w:pPr>
        <w:tabs>
          <w:tab w:val="left" w:pos="7938"/>
        </w:tabs>
        <w:autoSpaceDE w:val="0"/>
        <w:autoSpaceDN w:val="0"/>
        <w:adjustRightInd w:val="0"/>
        <w:ind w:right="283"/>
        <w:rPr>
          <w:rFonts w:ascii="CorpoS" w:hAnsi="CorpoS"/>
          <w:i/>
          <w:sz w:val="10"/>
          <w:szCs w:val="10"/>
          <w:lang w:val="de-DE"/>
        </w:rPr>
      </w:pPr>
    </w:p>
    <w:p w14:paraId="4C514920" w14:textId="77777777" w:rsidR="006539EF" w:rsidRDefault="006539EF" w:rsidP="006539EF">
      <w:pPr>
        <w:ind w:right="1984"/>
        <w:jc w:val="both"/>
        <w:rPr>
          <w:rFonts w:ascii="CorpoS" w:hAnsi="CorpoS"/>
          <w:b/>
          <w:sz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104"/>
        <w:gridCol w:w="1134"/>
        <w:gridCol w:w="1276"/>
        <w:gridCol w:w="1276"/>
        <w:gridCol w:w="1418"/>
      </w:tblGrid>
      <w:tr w:rsidR="006539EF" w:rsidRPr="003C0155" w14:paraId="0BCD64F7" w14:textId="77777777" w:rsidTr="000F38AA">
        <w:tc>
          <w:tcPr>
            <w:tcW w:w="3999" w:type="dxa"/>
            <w:tcBorders>
              <w:right w:val="single" w:sz="4" w:space="0" w:color="auto"/>
            </w:tcBorders>
            <w:shd w:val="clear" w:color="auto" w:fill="auto"/>
          </w:tcPr>
          <w:p w14:paraId="656F278A" w14:textId="77777777" w:rsidR="006539EF" w:rsidRPr="003C0155" w:rsidRDefault="006539EF" w:rsidP="000F38AA">
            <w:pPr>
              <w:rPr>
                <w:rFonts w:ascii="CorpoS" w:hAnsi="CorpoS"/>
                <w:b/>
                <w:sz w:val="22"/>
                <w:szCs w:val="22"/>
              </w:rPr>
            </w:pPr>
            <w:r>
              <w:rPr>
                <w:rFonts w:ascii="CorpoS" w:hAnsi="CorpoS"/>
                <w:b/>
                <w:sz w:val="22"/>
              </w:rPr>
              <w:t>MTU Aero Engines</w:t>
            </w:r>
          </w:p>
          <w:p w14:paraId="744CCDF1" w14:textId="77777777" w:rsidR="006539EF" w:rsidRPr="003C0155" w:rsidRDefault="006539EF" w:rsidP="000F38AA">
            <w:pPr>
              <w:rPr>
                <w:rFonts w:ascii="CorpoS" w:hAnsi="CorpoS"/>
                <w:b/>
                <w:sz w:val="22"/>
                <w:szCs w:val="22"/>
              </w:rPr>
            </w:pPr>
          </w:p>
        </w:tc>
        <w:tc>
          <w:tcPr>
            <w:tcW w:w="1104" w:type="dxa"/>
            <w:tcBorders>
              <w:left w:val="single" w:sz="4" w:space="0" w:color="auto"/>
              <w:right w:val="single" w:sz="4" w:space="0" w:color="auto"/>
            </w:tcBorders>
          </w:tcPr>
          <w:p w14:paraId="41859D92" w14:textId="77777777" w:rsidR="006539EF" w:rsidRPr="003C0155" w:rsidRDefault="006539EF" w:rsidP="000F38AA">
            <w:pPr>
              <w:jc w:val="right"/>
              <w:rPr>
                <w:rFonts w:ascii="CorpoS" w:hAnsi="CorpoS"/>
                <w:b/>
                <w:sz w:val="22"/>
                <w:szCs w:val="22"/>
              </w:rPr>
            </w:pPr>
            <w:r>
              <w:rPr>
                <w:rFonts w:ascii="CorpoS" w:hAnsi="CorpoS"/>
                <w:b/>
                <w:sz w:val="22"/>
              </w:rPr>
              <w:t>Q4 2021</w:t>
            </w:r>
          </w:p>
        </w:tc>
        <w:tc>
          <w:tcPr>
            <w:tcW w:w="1134" w:type="dxa"/>
            <w:tcBorders>
              <w:left w:val="single" w:sz="4" w:space="0" w:color="auto"/>
              <w:right w:val="single" w:sz="18" w:space="0" w:color="auto"/>
            </w:tcBorders>
          </w:tcPr>
          <w:p w14:paraId="3DFAD02B" w14:textId="77777777" w:rsidR="006539EF" w:rsidRPr="003C0155" w:rsidRDefault="006539EF" w:rsidP="000F38AA">
            <w:pPr>
              <w:jc w:val="right"/>
              <w:rPr>
                <w:rFonts w:ascii="CorpoS" w:hAnsi="CorpoS"/>
                <w:b/>
                <w:sz w:val="22"/>
                <w:szCs w:val="22"/>
              </w:rPr>
            </w:pPr>
            <w:r>
              <w:rPr>
                <w:rFonts w:ascii="CorpoS" w:hAnsi="CorpoS"/>
                <w:b/>
                <w:sz w:val="22"/>
              </w:rPr>
              <w:t>Q4 2022</w:t>
            </w:r>
          </w:p>
        </w:tc>
        <w:tc>
          <w:tcPr>
            <w:tcW w:w="1276" w:type="dxa"/>
            <w:tcBorders>
              <w:top w:val="single" w:sz="18" w:space="0" w:color="auto"/>
              <w:left w:val="single" w:sz="18" w:space="0" w:color="auto"/>
            </w:tcBorders>
            <w:shd w:val="clear" w:color="auto" w:fill="auto"/>
          </w:tcPr>
          <w:p w14:paraId="5A10CB33" w14:textId="77777777" w:rsidR="006539EF" w:rsidRPr="003C0155" w:rsidRDefault="006539EF" w:rsidP="000F38AA">
            <w:pPr>
              <w:jc w:val="right"/>
              <w:rPr>
                <w:rFonts w:ascii="CorpoS" w:hAnsi="CorpoS"/>
                <w:b/>
                <w:sz w:val="22"/>
                <w:szCs w:val="22"/>
              </w:rPr>
            </w:pPr>
            <w:r>
              <w:rPr>
                <w:rFonts w:ascii="CorpoS" w:hAnsi="CorpoS"/>
                <w:b/>
                <w:sz w:val="22"/>
              </w:rPr>
              <w:t>as of Dec. 2021</w:t>
            </w:r>
          </w:p>
          <w:p w14:paraId="51504B9A" w14:textId="77777777" w:rsidR="006539EF" w:rsidRPr="00C5746C" w:rsidRDefault="006539EF" w:rsidP="000F38AA">
            <w:pPr>
              <w:jc w:val="right"/>
              <w:rPr>
                <w:rFonts w:ascii="CorpoS" w:hAnsi="CorpoS"/>
                <w:i/>
                <w:sz w:val="16"/>
                <w:szCs w:val="16"/>
              </w:rPr>
            </w:pPr>
          </w:p>
        </w:tc>
        <w:tc>
          <w:tcPr>
            <w:tcW w:w="1276" w:type="dxa"/>
            <w:tcBorders>
              <w:top w:val="single" w:sz="18" w:space="0" w:color="auto"/>
            </w:tcBorders>
            <w:shd w:val="clear" w:color="auto" w:fill="auto"/>
          </w:tcPr>
          <w:p w14:paraId="10713840" w14:textId="77777777" w:rsidR="006539EF" w:rsidRPr="003C0155" w:rsidRDefault="006539EF" w:rsidP="000F38AA">
            <w:pPr>
              <w:jc w:val="right"/>
              <w:rPr>
                <w:rFonts w:ascii="CorpoS" w:hAnsi="CorpoS"/>
                <w:b/>
                <w:sz w:val="22"/>
                <w:szCs w:val="22"/>
              </w:rPr>
            </w:pPr>
            <w:r>
              <w:rPr>
                <w:rFonts w:ascii="CorpoS" w:hAnsi="CorpoS"/>
                <w:b/>
                <w:sz w:val="22"/>
              </w:rPr>
              <w:t>as of Dec. 2022</w:t>
            </w:r>
          </w:p>
        </w:tc>
        <w:tc>
          <w:tcPr>
            <w:tcW w:w="1418" w:type="dxa"/>
            <w:tcBorders>
              <w:top w:val="single" w:sz="18" w:space="0" w:color="auto"/>
              <w:right w:val="single" w:sz="18" w:space="0" w:color="auto"/>
            </w:tcBorders>
            <w:shd w:val="clear" w:color="auto" w:fill="auto"/>
          </w:tcPr>
          <w:p w14:paraId="6287B8E7" w14:textId="77777777" w:rsidR="006539EF" w:rsidRPr="003C0155" w:rsidRDefault="006539EF" w:rsidP="000F38AA">
            <w:pPr>
              <w:ind w:right="33"/>
              <w:rPr>
                <w:rFonts w:ascii="CorpoS" w:hAnsi="CorpoS"/>
                <w:b/>
                <w:sz w:val="22"/>
                <w:szCs w:val="22"/>
              </w:rPr>
            </w:pPr>
            <w:r>
              <w:rPr>
                <w:rFonts w:ascii="CorpoS" w:hAnsi="CorpoS"/>
                <w:b/>
                <w:sz w:val="22"/>
              </w:rPr>
              <w:t>Change</w:t>
            </w:r>
          </w:p>
        </w:tc>
      </w:tr>
      <w:tr w:rsidR="006539EF" w:rsidRPr="003C0155" w14:paraId="77459356" w14:textId="77777777" w:rsidTr="000F38AA">
        <w:tc>
          <w:tcPr>
            <w:tcW w:w="3999" w:type="dxa"/>
            <w:tcBorders>
              <w:right w:val="single" w:sz="4" w:space="0" w:color="auto"/>
            </w:tcBorders>
            <w:shd w:val="clear" w:color="auto" w:fill="auto"/>
          </w:tcPr>
          <w:p w14:paraId="61A7128C" w14:textId="77777777" w:rsidR="006539EF" w:rsidRPr="003C0155" w:rsidRDefault="006539EF" w:rsidP="000F38AA">
            <w:pPr>
              <w:rPr>
                <w:rFonts w:ascii="CorpoS" w:hAnsi="CorpoS"/>
                <w:sz w:val="22"/>
                <w:szCs w:val="22"/>
              </w:rPr>
            </w:pPr>
            <w:r>
              <w:rPr>
                <w:rFonts w:ascii="CorpoS" w:hAnsi="CorpoS"/>
                <w:sz w:val="22"/>
              </w:rPr>
              <w:t>Revenue</w:t>
            </w:r>
          </w:p>
        </w:tc>
        <w:tc>
          <w:tcPr>
            <w:tcW w:w="1104" w:type="dxa"/>
            <w:tcBorders>
              <w:left w:val="single" w:sz="4" w:space="0" w:color="auto"/>
              <w:right w:val="single" w:sz="4" w:space="0" w:color="auto"/>
            </w:tcBorders>
            <w:vAlign w:val="center"/>
          </w:tcPr>
          <w:p w14:paraId="617F7540"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1,180</w:t>
            </w:r>
          </w:p>
        </w:tc>
        <w:tc>
          <w:tcPr>
            <w:tcW w:w="1134" w:type="dxa"/>
            <w:tcBorders>
              <w:left w:val="single" w:sz="4" w:space="0" w:color="auto"/>
              <w:right w:val="single" w:sz="18" w:space="0" w:color="auto"/>
            </w:tcBorders>
            <w:vAlign w:val="center"/>
          </w:tcPr>
          <w:p w14:paraId="71C203C5"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1,513</w:t>
            </w:r>
          </w:p>
        </w:tc>
        <w:tc>
          <w:tcPr>
            <w:tcW w:w="1276" w:type="dxa"/>
            <w:tcBorders>
              <w:left w:val="single" w:sz="18" w:space="0" w:color="auto"/>
            </w:tcBorders>
            <w:shd w:val="clear" w:color="auto" w:fill="auto"/>
            <w:vAlign w:val="center"/>
          </w:tcPr>
          <w:p w14:paraId="3B178F82"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4,188</w:t>
            </w:r>
          </w:p>
        </w:tc>
        <w:tc>
          <w:tcPr>
            <w:tcW w:w="1276" w:type="dxa"/>
            <w:shd w:val="clear" w:color="auto" w:fill="auto"/>
            <w:vAlign w:val="center"/>
          </w:tcPr>
          <w:p w14:paraId="11E93A48"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5,330</w:t>
            </w:r>
          </w:p>
        </w:tc>
        <w:tc>
          <w:tcPr>
            <w:tcW w:w="1418" w:type="dxa"/>
            <w:tcBorders>
              <w:right w:val="single" w:sz="18" w:space="0" w:color="auto"/>
            </w:tcBorders>
            <w:shd w:val="clear" w:color="auto" w:fill="auto"/>
            <w:vAlign w:val="center"/>
          </w:tcPr>
          <w:p w14:paraId="3B6D9DA5"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+ 27%</w:t>
            </w:r>
          </w:p>
        </w:tc>
      </w:tr>
      <w:tr w:rsidR="006539EF" w:rsidRPr="003C0155" w14:paraId="1EEF05A6" w14:textId="77777777" w:rsidTr="000F38AA">
        <w:tc>
          <w:tcPr>
            <w:tcW w:w="3999" w:type="dxa"/>
            <w:tcBorders>
              <w:right w:val="single" w:sz="4" w:space="0" w:color="auto"/>
            </w:tcBorders>
            <w:shd w:val="clear" w:color="auto" w:fill="auto"/>
          </w:tcPr>
          <w:p w14:paraId="433246A0" w14:textId="77777777" w:rsidR="006539EF" w:rsidRPr="003C0155" w:rsidRDefault="006539EF" w:rsidP="000F38AA">
            <w:pPr>
              <w:rPr>
                <w:rFonts w:ascii="CorpoS" w:hAnsi="CorpoS"/>
                <w:sz w:val="22"/>
                <w:szCs w:val="22"/>
              </w:rPr>
            </w:pPr>
            <w:r>
              <w:rPr>
                <w:rFonts w:ascii="CorpoS" w:hAnsi="CorpoS"/>
                <w:sz w:val="22"/>
              </w:rPr>
              <w:t xml:space="preserve">   thereof OEM business</w:t>
            </w:r>
          </w:p>
        </w:tc>
        <w:tc>
          <w:tcPr>
            <w:tcW w:w="1104" w:type="dxa"/>
            <w:tcBorders>
              <w:left w:val="single" w:sz="4" w:space="0" w:color="auto"/>
              <w:right w:val="single" w:sz="4" w:space="0" w:color="auto"/>
            </w:tcBorders>
            <w:vAlign w:val="center"/>
          </w:tcPr>
          <w:p w14:paraId="7ACC2FAE"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473</w:t>
            </w:r>
          </w:p>
        </w:tc>
        <w:tc>
          <w:tcPr>
            <w:tcW w:w="1134" w:type="dxa"/>
            <w:tcBorders>
              <w:left w:val="single" w:sz="4" w:space="0" w:color="auto"/>
              <w:right w:val="single" w:sz="18" w:space="0" w:color="auto"/>
            </w:tcBorders>
            <w:vAlign w:val="center"/>
          </w:tcPr>
          <w:p w14:paraId="064E11F6"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576</w:t>
            </w:r>
          </w:p>
        </w:tc>
        <w:tc>
          <w:tcPr>
            <w:tcW w:w="1276" w:type="dxa"/>
            <w:tcBorders>
              <w:left w:val="single" w:sz="18" w:space="0" w:color="auto"/>
            </w:tcBorders>
            <w:shd w:val="clear" w:color="auto" w:fill="auto"/>
            <w:vAlign w:val="center"/>
          </w:tcPr>
          <w:p w14:paraId="7C13C5A2"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1,547</w:t>
            </w:r>
          </w:p>
        </w:tc>
        <w:tc>
          <w:tcPr>
            <w:tcW w:w="1276" w:type="dxa"/>
            <w:shd w:val="clear" w:color="auto" w:fill="auto"/>
            <w:vAlign w:val="center"/>
          </w:tcPr>
          <w:p w14:paraId="1D91CBB1"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1,831</w:t>
            </w:r>
          </w:p>
        </w:tc>
        <w:tc>
          <w:tcPr>
            <w:tcW w:w="1418" w:type="dxa"/>
            <w:tcBorders>
              <w:right w:val="single" w:sz="18" w:space="0" w:color="auto"/>
            </w:tcBorders>
            <w:shd w:val="clear" w:color="auto" w:fill="auto"/>
            <w:vAlign w:val="center"/>
          </w:tcPr>
          <w:p w14:paraId="7D40183E"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+ 18%</w:t>
            </w:r>
          </w:p>
        </w:tc>
      </w:tr>
      <w:tr w:rsidR="006539EF" w:rsidRPr="003C0155" w14:paraId="31EFA4FA" w14:textId="77777777" w:rsidTr="000F38AA">
        <w:tc>
          <w:tcPr>
            <w:tcW w:w="3999" w:type="dxa"/>
            <w:tcBorders>
              <w:right w:val="single" w:sz="4" w:space="0" w:color="auto"/>
            </w:tcBorders>
            <w:shd w:val="clear" w:color="auto" w:fill="auto"/>
          </w:tcPr>
          <w:p w14:paraId="52B88659" w14:textId="77777777" w:rsidR="006539EF" w:rsidRPr="003C0155" w:rsidRDefault="006539EF" w:rsidP="000F38AA">
            <w:pPr>
              <w:rPr>
                <w:rFonts w:ascii="CorpoS" w:hAnsi="CorpoS"/>
                <w:sz w:val="22"/>
                <w:szCs w:val="22"/>
              </w:rPr>
            </w:pPr>
            <w:r>
              <w:rPr>
                <w:rFonts w:ascii="CorpoS" w:hAnsi="CorpoS"/>
                <w:sz w:val="22"/>
              </w:rPr>
              <w:t xml:space="preserve">          thereof commercial engine business</w:t>
            </w:r>
          </w:p>
        </w:tc>
        <w:tc>
          <w:tcPr>
            <w:tcW w:w="1104" w:type="dxa"/>
            <w:tcBorders>
              <w:left w:val="single" w:sz="4" w:space="0" w:color="auto"/>
              <w:right w:val="single" w:sz="4" w:space="0" w:color="auto"/>
            </w:tcBorders>
            <w:vAlign w:val="center"/>
          </w:tcPr>
          <w:p w14:paraId="0C06E465"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300</w:t>
            </w:r>
          </w:p>
        </w:tc>
        <w:tc>
          <w:tcPr>
            <w:tcW w:w="1134" w:type="dxa"/>
            <w:tcBorders>
              <w:left w:val="single" w:sz="4" w:space="0" w:color="auto"/>
              <w:right w:val="single" w:sz="18" w:space="0" w:color="auto"/>
            </w:tcBorders>
            <w:vAlign w:val="center"/>
          </w:tcPr>
          <w:p w14:paraId="7F74A4EB"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388</w:t>
            </w:r>
          </w:p>
        </w:tc>
        <w:tc>
          <w:tcPr>
            <w:tcW w:w="1276" w:type="dxa"/>
            <w:tcBorders>
              <w:left w:val="single" w:sz="18" w:space="0" w:color="auto"/>
            </w:tcBorders>
            <w:shd w:val="clear" w:color="auto" w:fill="auto"/>
            <w:vAlign w:val="center"/>
          </w:tcPr>
          <w:p w14:paraId="38E7CE59"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1,066</w:t>
            </w:r>
          </w:p>
        </w:tc>
        <w:tc>
          <w:tcPr>
            <w:tcW w:w="1276" w:type="dxa"/>
            <w:shd w:val="clear" w:color="auto" w:fill="auto"/>
            <w:vAlign w:val="center"/>
          </w:tcPr>
          <w:p w14:paraId="2FE3F34A"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1,335</w:t>
            </w:r>
          </w:p>
        </w:tc>
        <w:tc>
          <w:tcPr>
            <w:tcW w:w="1418" w:type="dxa"/>
            <w:tcBorders>
              <w:right w:val="single" w:sz="18" w:space="0" w:color="auto"/>
            </w:tcBorders>
            <w:shd w:val="clear" w:color="auto" w:fill="auto"/>
            <w:vAlign w:val="center"/>
          </w:tcPr>
          <w:p w14:paraId="56F9383F"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+ 25%</w:t>
            </w:r>
          </w:p>
        </w:tc>
      </w:tr>
      <w:tr w:rsidR="006539EF" w:rsidRPr="003C0155" w14:paraId="5F3ED0C3" w14:textId="77777777" w:rsidTr="000F38AA">
        <w:tc>
          <w:tcPr>
            <w:tcW w:w="3999" w:type="dxa"/>
            <w:tcBorders>
              <w:right w:val="single" w:sz="4" w:space="0" w:color="auto"/>
            </w:tcBorders>
            <w:shd w:val="clear" w:color="auto" w:fill="auto"/>
          </w:tcPr>
          <w:p w14:paraId="5198C75D" w14:textId="77777777" w:rsidR="006539EF" w:rsidRPr="003C0155" w:rsidRDefault="006539EF" w:rsidP="000F38AA">
            <w:pPr>
              <w:rPr>
                <w:rFonts w:ascii="CorpoS" w:hAnsi="CorpoS"/>
                <w:sz w:val="22"/>
                <w:szCs w:val="22"/>
              </w:rPr>
            </w:pPr>
            <w:r>
              <w:rPr>
                <w:rFonts w:ascii="CorpoS" w:hAnsi="CorpoS"/>
                <w:sz w:val="22"/>
              </w:rPr>
              <w:t xml:space="preserve">          thereof military engine business</w:t>
            </w:r>
          </w:p>
        </w:tc>
        <w:tc>
          <w:tcPr>
            <w:tcW w:w="1104" w:type="dxa"/>
            <w:tcBorders>
              <w:left w:val="single" w:sz="4" w:space="0" w:color="auto"/>
              <w:right w:val="single" w:sz="4" w:space="0" w:color="auto"/>
            </w:tcBorders>
            <w:vAlign w:val="center"/>
          </w:tcPr>
          <w:p w14:paraId="6D250BA1"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172</w:t>
            </w:r>
          </w:p>
        </w:tc>
        <w:tc>
          <w:tcPr>
            <w:tcW w:w="1134" w:type="dxa"/>
            <w:tcBorders>
              <w:left w:val="single" w:sz="4" w:space="0" w:color="auto"/>
              <w:right w:val="single" w:sz="18" w:space="0" w:color="auto"/>
            </w:tcBorders>
            <w:vAlign w:val="center"/>
          </w:tcPr>
          <w:p w14:paraId="413C1F51"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187</w:t>
            </w:r>
          </w:p>
        </w:tc>
        <w:tc>
          <w:tcPr>
            <w:tcW w:w="1276" w:type="dxa"/>
            <w:tcBorders>
              <w:left w:val="single" w:sz="18" w:space="0" w:color="auto"/>
            </w:tcBorders>
            <w:shd w:val="clear" w:color="auto" w:fill="auto"/>
            <w:vAlign w:val="center"/>
          </w:tcPr>
          <w:p w14:paraId="3A8A3BC5"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482</w:t>
            </w:r>
          </w:p>
        </w:tc>
        <w:tc>
          <w:tcPr>
            <w:tcW w:w="1276" w:type="dxa"/>
            <w:shd w:val="clear" w:color="auto" w:fill="auto"/>
            <w:vAlign w:val="center"/>
          </w:tcPr>
          <w:p w14:paraId="6423CA22"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496</w:t>
            </w:r>
          </w:p>
        </w:tc>
        <w:tc>
          <w:tcPr>
            <w:tcW w:w="1418" w:type="dxa"/>
            <w:tcBorders>
              <w:right w:val="single" w:sz="18" w:space="0" w:color="auto"/>
            </w:tcBorders>
            <w:shd w:val="clear" w:color="auto" w:fill="auto"/>
            <w:vAlign w:val="center"/>
          </w:tcPr>
          <w:p w14:paraId="4C0E64D3"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+ 3%</w:t>
            </w:r>
          </w:p>
        </w:tc>
      </w:tr>
      <w:tr w:rsidR="006539EF" w:rsidRPr="003C0155" w14:paraId="2EAF565C" w14:textId="77777777" w:rsidTr="000F38AA">
        <w:tc>
          <w:tcPr>
            <w:tcW w:w="3999" w:type="dxa"/>
            <w:tcBorders>
              <w:right w:val="single" w:sz="4" w:space="0" w:color="auto"/>
            </w:tcBorders>
            <w:shd w:val="clear" w:color="auto" w:fill="auto"/>
          </w:tcPr>
          <w:p w14:paraId="07DBA814" w14:textId="77777777" w:rsidR="006539EF" w:rsidRPr="003C0155" w:rsidRDefault="006539EF" w:rsidP="000F38AA">
            <w:pPr>
              <w:rPr>
                <w:rFonts w:ascii="CorpoS" w:hAnsi="CorpoS"/>
                <w:sz w:val="22"/>
                <w:szCs w:val="22"/>
              </w:rPr>
            </w:pPr>
            <w:r>
              <w:rPr>
                <w:rFonts w:ascii="CorpoS" w:hAnsi="CorpoS"/>
                <w:sz w:val="22"/>
              </w:rPr>
              <w:t xml:space="preserve">   thereof commercial maintenance</w:t>
            </w:r>
          </w:p>
        </w:tc>
        <w:tc>
          <w:tcPr>
            <w:tcW w:w="1104" w:type="dxa"/>
            <w:tcBorders>
              <w:left w:val="single" w:sz="4" w:space="0" w:color="auto"/>
              <w:right w:val="single" w:sz="4" w:space="0" w:color="auto"/>
            </w:tcBorders>
            <w:vAlign w:val="center"/>
          </w:tcPr>
          <w:p w14:paraId="10CBB593"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731</w:t>
            </w:r>
          </w:p>
        </w:tc>
        <w:tc>
          <w:tcPr>
            <w:tcW w:w="1134" w:type="dxa"/>
            <w:tcBorders>
              <w:left w:val="single" w:sz="4" w:space="0" w:color="auto"/>
              <w:right w:val="single" w:sz="18" w:space="0" w:color="auto"/>
            </w:tcBorders>
            <w:vAlign w:val="center"/>
          </w:tcPr>
          <w:p w14:paraId="7201859E"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973</w:t>
            </w:r>
          </w:p>
        </w:tc>
        <w:tc>
          <w:tcPr>
            <w:tcW w:w="1276" w:type="dxa"/>
            <w:tcBorders>
              <w:left w:val="single" w:sz="18" w:space="0" w:color="auto"/>
            </w:tcBorders>
            <w:shd w:val="clear" w:color="auto" w:fill="auto"/>
            <w:vAlign w:val="center"/>
          </w:tcPr>
          <w:p w14:paraId="3F6FE799"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2,741</w:t>
            </w:r>
          </w:p>
        </w:tc>
        <w:tc>
          <w:tcPr>
            <w:tcW w:w="1276" w:type="dxa"/>
            <w:shd w:val="clear" w:color="auto" w:fill="auto"/>
            <w:vAlign w:val="center"/>
          </w:tcPr>
          <w:p w14:paraId="4314B352"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3,616</w:t>
            </w:r>
          </w:p>
        </w:tc>
        <w:tc>
          <w:tcPr>
            <w:tcW w:w="1418" w:type="dxa"/>
            <w:tcBorders>
              <w:right w:val="single" w:sz="18" w:space="0" w:color="auto"/>
            </w:tcBorders>
            <w:shd w:val="clear" w:color="auto" w:fill="auto"/>
            <w:vAlign w:val="center"/>
          </w:tcPr>
          <w:p w14:paraId="0C30295C"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+ 32%</w:t>
            </w:r>
          </w:p>
        </w:tc>
      </w:tr>
      <w:tr w:rsidR="006539EF" w:rsidRPr="003C0155" w14:paraId="6F1B291D" w14:textId="77777777" w:rsidTr="000F38AA">
        <w:tc>
          <w:tcPr>
            <w:tcW w:w="3999" w:type="dxa"/>
            <w:tcBorders>
              <w:right w:val="single" w:sz="4" w:space="0" w:color="auto"/>
            </w:tcBorders>
            <w:shd w:val="clear" w:color="auto" w:fill="auto"/>
          </w:tcPr>
          <w:p w14:paraId="1790DA25" w14:textId="77777777" w:rsidR="006539EF" w:rsidRPr="003C0155" w:rsidRDefault="006539EF" w:rsidP="000F38AA">
            <w:pPr>
              <w:rPr>
                <w:rFonts w:ascii="CorpoS" w:hAnsi="CorpoS"/>
                <w:sz w:val="22"/>
                <w:szCs w:val="22"/>
              </w:rPr>
            </w:pPr>
            <w:r>
              <w:rPr>
                <w:rFonts w:ascii="CorpoS" w:hAnsi="CorpoS"/>
                <w:sz w:val="22"/>
              </w:rPr>
              <w:t>Adjusted EBIT</w:t>
            </w:r>
          </w:p>
        </w:tc>
        <w:tc>
          <w:tcPr>
            <w:tcW w:w="1104" w:type="dxa"/>
            <w:tcBorders>
              <w:left w:val="single" w:sz="4" w:space="0" w:color="auto"/>
              <w:right w:val="single" w:sz="4" w:space="0" w:color="auto"/>
            </w:tcBorders>
            <w:vAlign w:val="center"/>
          </w:tcPr>
          <w:p w14:paraId="2B0D854D"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161</w:t>
            </w:r>
          </w:p>
        </w:tc>
        <w:tc>
          <w:tcPr>
            <w:tcW w:w="1134" w:type="dxa"/>
            <w:tcBorders>
              <w:left w:val="single" w:sz="4" w:space="0" w:color="auto"/>
              <w:right w:val="single" w:sz="18" w:space="0" w:color="auto"/>
            </w:tcBorders>
            <w:vAlign w:val="center"/>
          </w:tcPr>
          <w:p w14:paraId="40BF95DE"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207</w:t>
            </w:r>
          </w:p>
        </w:tc>
        <w:tc>
          <w:tcPr>
            <w:tcW w:w="1276" w:type="dxa"/>
            <w:tcBorders>
              <w:left w:val="single" w:sz="18" w:space="0" w:color="auto"/>
            </w:tcBorders>
            <w:shd w:val="clear" w:color="auto" w:fill="auto"/>
            <w:vAlign w:val="center"/>
          </w:tcPr>
          <w:p w14:paraId="10E536A6"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468</w:t>
            </w:r>
          </w:p>
        </w:tc>
        <w:tc>
          <w:tcPr>
            <w:tcW w:w="1276" w:type="dxa"/>
            <w:shd w:val="clear" w:color="auto" w:fill="auto"/>
            <w:vAlign w:val="center"/>
          </w:tcPr>
          <w:p w14:paraId="446E3F58"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655</w:t>
            </w:r>
          </w:p>
        </w:tc>
        <w:tc>
          <w:tcPr>
            <w:tcW w:w="1418" w:type="dxa"/>
            <w:tcBorders>
              <w:right w:val="single" w:sz="18" w:space="0" w:color="auto"/>
            </w:tcBorders>
            <w:shd w:val="clear" w:color="auto" w:fill="auto"/>
            <w:vAlign w:val="center"/>
          </w:tcPr>
          <w:p w14:paraId="5480DFEB"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+ 40%</w:t>
            </w:r>
          </w:p>
        </w:tc>
      </w:tr>
      <w:tr w:rsidR="006539EF" w:rsidRPr="003C0155" w14:paraId="0C072DF4" w14:textId="77777777" w:rsidTr="000F38AA">
        <w:tc>
          <w:tcPr>
            <w:tcW w:w="3999" w:type="dxa"/>
            <w:tcBorders>
              <w:right w:val="single" w:sz="4" w:space="0" w:color="auto"/>
            </w:tcBorders>
            <w:shd w:val="clear" w:color="auto" w:fill="auto"/>
          </w:tcPr>
          <w:p w14:paraId="00052936" w14:textId="77777777" w:rsidR="006539EF" w:rsidRPr="003C0155" w:rsidRDefault="006539EF" w:rsidP="000F38AA">
            <w:pPr>
              <w:rPr>
                <w:rFonts w:ascii="CorpoS" w:hAnsi="CorpoS"/>
                <w:sz w:val="22"/>
                <w:szCs w:val="22"/>
              </w:rPr>
            </w:pPr>
            <w:r>
              <w:rPr>
                <w:rFonts w:ascii="CorpoS" w:hAnsi="CorpoS"/>
                <w:sz w:val="22"/>
              </w:rPr>
              <w:t xml:space="preserve">   thereof OEM business</w:t>
            </w:r>
          </w:p>
        </w:tc>
        <w:tc>
          <w:tcPr>
            <w:tcW w:w="1104" w:type="dxa"/>
            <w:tcBorders>
              <w:left w:val="single" w:sz="4" w:space="0" w:color="auto"/>
              <w:right w:val="single" w:sz="4" w:space="0" w:color="auto"/>
            </w:tcBorders>
            <w:vAlign w:val="center"/>
          </w:tcPr>
          <w:p w14:paraId="610AB0D7"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118</w:t>
            </w:r>
          </w:p>
        </w:tc>
        <w:tc>
          <w:tcPr>
            <w:tcW w:w="1134" w:type="dxa"/>
            <w:tcBorders>
              <w:left w:val="single" w:sz="4" w:space="0" w:color="auto"/>
              <w:right w:val="single" w:sz="18" w:space="0" w:color="auto"/>
            </w:tcBorders>
            <w:vAlign w:val="center"/>
          </w:tcPr>
          <w:p w14:paraId="722F1919"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136</w:t>
            </w:r>
          </w:p>
        </w:tc>
        <w:tc>
          <w:tcPr>
            <w:tcW w:w="1276" w:type="dxa"/>
            <w:tcBorders>
              <w:left w:val="single" w:sz="18" w:space="0" w:color="auto"/>
            </w:tcBorders>
            <w:shd w:val="clear" w:color="auto" w:fill="auto"/>
            <w:vAlign w:val="center"/>
          </w:tcPr>
          <w:p w14:paraId="13E2B87D"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320</w:t>
            </w:r>
          </w:p>
        </w:tc>
        <w:tc>
          <w:tcPr>
            <w:tcW w:w="1276" w:type="dxa"/>
            <w:shd w:val="clear" w:color="auto" w:fill="auto"/>
            <w:vAlign w:val="center"/>
          </w:tcPr>
          <w:p w14:paraId="7BCC562B"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387</w:t>
            </w:r>
          </w:p>
        </w:tc>
        <w:tc>
          <w:tcPr>
            <w:tcW w:w="1418" w:type="dxa"/>
            <w:tcBorders>
              <w:right w:val="single" w:sz="18" w:space="0" w:color="auto"/>
            </w:tcBorders>
            <w:shd w:val="clear" w:color="auto" w:fill="auto"/>
            <w:vAlign w:val="center"/>
          </w:tcPr>
          <w:p w14:paraId="6912A9C1"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+ 21%</w:t>
            </w:r>
          </w:p>
        </w:tc>
      </w:tr>
      <w:tr w:rsidR="006539EF" w:rsidRPr="003C0155" w14:paraId="553B0458" w14:textId="77777777" w:rsidTr="000F38AA">
        <w:tc>
          <w:tcPr>
            <w:tcW w:w="3999" w:type="dxa"/>
            <w:tcBorders>
              <w:right w:val="single" w:sz="4" w:space="0" w:color="auto"/>
            </w:tcBorders>
            <w:shd w:val="clear" w:color="auto" w:fill="auto"/>
          </w:tcPr>
          <w:p w14:paraId="0A7A9F25" w14:textId="77777777" w:rsidR="006539EF" w:rsidRPr="003C0155" w:rsidRDefault="006539EF" w:rsidP="000F38AA">
            <w:pPr>
              <w:rPr>
                <w:rFonts w:ascii="CorpoS" w:hAnsi="CorpoS"/>
                <w:sz w:val="22"/>
                <w:szCs w:val="22"/>
              </w:rPr>
            </w:pPr>
            <w:r>
              <w:rPr>
                <w:rFonts w:ascii="CorpoS" w:hAnsi="CorpoS"/>
                <w:sz w:val="22"/>
              </w:rPr>
              <w:t xml:space="preserve">   thereof commercial maintenance</w:t>
            </w:r>
          </w:p>
        </w:tc>
        <w:tc>
          <w:tcPr>
            <w:tcW w:w="1104" w:type="dxa"/>
            <w:tcBorders>
              <w:left w:val="single" w:sz="4" w:space="0" w:color="auto"/>
              <w:right w:val="single" w:sz="4" w:space="0" w:color="auto"/>
            </w:tcBorders>
            <w:vAlign w:val="center"/>
          </w:tcPr>
          <w:p w14:paraId="1D37F615"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44</w:t>
            </w:r>
          </w:p>
        </w:tc>
        <w:tc>
          <w:tcPr>
            <w:tcW w:w="1134" w:type="dxa"/>
            <w:tcBorders>
              <w:left w:val="single" w:sz="4" w:space="0" w:color="auto"/>
              <w:right w:val="single" w:sz="18" w:space="0" w:color="auto"/>
            </w:tcBorders>
            <w:vAlign w:val="center"/>
          </w:tcPr>
          <w:p w14:paraId="06E83A7B"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72</w:t>
            </w:r>
          </w:p>
        </w:tc>
        <w:tc>
          <w:tcPr>
            <w:tcW w:w="1276" w:type="dxa"/>
            <w:tcBorders>
              <w:left w:val="single" w:sz="18" w:space="0" w:color="auto"/>
            </w:tcBorders>
            <w:shd w:val="clear" w:color="auto" w:fill="auto"/>
            <w:vAlign w:val="center"/>
          </w:tcPr>
          <w:p w14:paraId="161832AA"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149</w:t>
            </w:r>
          </w:p>
        </w:tc>
        <w:tc>
          <w:tcPr>
            <w:tcW w:w="1276" w:type="dxa"/>
            <w:shd w:val="clear" w:color="auto" w:fill="auto"/>
            <w:vAlign w:val="center"/>
          </w:tcPr>
          <w:p w14:paraId="395C5D27"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268</w:t>
            </w:r>
          </w:p>
        </w:tc>
        <w:tc>
          <w:tcPr>
            <w:tcW w:w="1418" w:type="dxa"/>
            <w:tcBorders>
              <w:right w:val="single" w:sz="18" w:space="0" w:color="auto"/>
            </w:tcBorders>
            <w:shd w:val="clear" w:color="auto" w:fill="auto"/>
            <w:vAlign w:val="center"/>
          </w:tcPr>
          <w:p w14:paraId="276E8041"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+ 80%</w:t>
            </w:r>
          </w:p>
        </w:tc>
      </w:tr>
      <w:tr w:rsidR="006539EF" w:rsidRPr="003C0155" w:rsidDel="0033104F" w14:paraId="1D68A6AF" w14:textId="77777777" w:rsidTr="000F38AA">
        <w:tc>
          <w:tcPr>
            <w:tcW w:w="3999" w:type="dxa"/>
            <w:tcBorders>
              <w:right w:val="single" w:sz="4" w:space="0" w:color="auto"/>
            </w:tcBorders>
            <w:shd w:val="clear" w:color="auto" w:fill="auto"/>
          </w:tcPr>
          <w:p w14:paraId="54228FCA" w14:textId="77777777" w:rsidR="006539EF" w:rsidRPr="003C0155" w:rsidRDefault="006539EF" w:rsidP="000F38AA">
            <w:pPr>
              <w:rPr>
                <w:rFonts w:ascii="CorpoS" w:hAnsi="CorpoS"/>
                <w:i/>
                <w:sz w:val="22"/>
                <w:szCs w:val="22"/>
              </w:rPr>
            </w:pPr>
            <w:r>
              <w:rPr>
                <w:rFonts w:ascii="CorpoS" w:hAnsi="CorpoS"/>
                <w:i/>
                <w:sz w:val="22"/>
              </w:rPr>
              <w:t>Adjusted EBIT margin</w:t>
            </w:r>
          </w:p>
        </w:tc>
        <w:tc>
          <w:tcPr>
            <w:tcW w:w="1104" w:type="dxa"/>
            <w:tcBorders>
              <w:left w:val="single" w:sz="4" w:space="0" w:color="auto"/>
              <w:right w:val="single" w:sz="4" w:space="0" w:color="auto"/>
            </w:tcBorders>
            <w:vAlign w:val="center"/>
          </w:tcPr>
          <w:p w14:paraId="4CF320D5"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13.6%</w:t>
            </w:r>
          </w:p>
        </w:tc>
        <w:tc>
          <w:tcPr>
            <w:tcW w:w="1134" w:type="dxa"/>
            <w:tcBorders>
              <w:left w:val="single" w:sz="4" w:space="0" w:color="auto"/>
              <w:right w:val="single" w:sz="18" w:space="0" w:color="auto"/>
            </w:tcBorders>
            <w:vAlign w:val="center"/>
          </w:tcPr>
          <w:p w14:paraId="263F6D2A"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13.7%</w:t>
            </w:r>
          </w:p>
        </w:tc>
        <w:tc>
          <w:tcPr>
            <w:tcW w:w="1276" w:type="dxa"/>
            <w:tcBorders>
              <w:left w:val="single" w:sz="18" w:space="0" w:color="auto"/>
            </w:tcBorders>
            <w:shd w:val="clear" w:color="auto" w:fill="auto"/>
            <w:vAlign w:val="center"/>
          </w:tcPr>
          <w:p w14:paraId="6A4B994E"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11.2%</w:t>
            </w:r>
          </w:p>
        </w:tc>
        <w:tc>
          <w:tcPr>
            <w:tcW w:w="1276" w:type="dxa"/>
            <w:shd w:val="clear" w:color="auto" w:fill="auto"/>
            <w:vAlign w:val="center"/>
          </w:tcPr>
          <w:p w14:paraId="71453640"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12.3%</w:t>
            </w:r>
          </w:p>
        </w:tc>
        <w:tc>
          <w:tcPr>
            <w:tcW w:w="1418" w:type="dxa"/>
            <w:tcBorders>
              <w:right w:val="single" w:sz="18" w:space="0" w:color="auto"/>
            </w:tcBorders>
            <w:shd w:val="clear" w:color="auto" w:fill="auto"/>
            <w:vAlign w:val="center"/>
          </w:tcPr>
          <w:p w14:paraId="073F2B31"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 </w:t>
            </w:r>
          </w:p>
        </w:tc>
      </w:tr>
      <w:tr w:rsidR="006539EF" w:rsidRPr="003C0155" w:rsidDel="0033104F" w14:paraId="7FA1A1EB" w14:textId="77777777" w:rsidTr="000F38AA">
        <w:tc>
          <w:tcPr>
            <w:tcW w:w="3999" w:type="dxa"/>
            <w:tcBorders>
              <w:right w:val="single" w:sz="4" w:space="0" w:color="auto"/>
            </w:tcBorders>
            <w:shd w:val="clear" w:color="auto" w:fill="auto"/>
          </w:tcPr>
          <w:p w14:paraId="52CF3DAC" w14:textId="77777777" w:rsidR="006539EF" w:rsidRPr="003C0155" w:rsidRDefault="006539EF" w:rsidP="000F38AA">
            <w:pPr>
              <w:tabs>
                <w:tab w:val="left" w:pos="176"/>
              </w:tabs>
              <w:rPr>
                <w:rFonts w:ascii="CorpoS" w:hAnsi="CorpoS"/>
                <w:i/>
                <w:sz w:val="22"/>
                <w:szCs w:val="22"/>
              </w:rPr>
            </w:pPr>
            <w:r>
              <w:rPr>
                <w:rFonts w:ascii="CorpoS" w:hAnsi="CorpoS"/>
                <w:i/>
                <w:sz w:val="22"/>
              </w:rPr>
              <w:t xml:space="preserve">   in the OEM business</w:t>
            </w:r>
          </w:p>
        </w:tc>
        <w:tc>
          <w:tcPr>
            <w:tcW w:w="1104" w:type="dxa"/>
            <w:tcBorders>
              <w:left w:val="single" w:sz="4" w:space="0" w:color="auto"/>
              <w:right w:val="single" w:sz="4" w:space="0" w:color="auto"/>
            </w:tcBorders>
            <w:vAlign w:val="center"/>
          </w:tcPr>
          <w:p w14:paraId="737DCEDE"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25.0%</w:t>
            </w:r>
          </w:p>
        </w:tc>
        <w:tc>
          <w:tcPr>
            <w:tcW w:w="1134" w:type="dxa"/>
            <w:tcBorders>
              <w:left w:val="single" w:sz="4" w:space="0" w:color="auto"/>
              <w:right w:val="single" w:sz="18" w:space="0" w:color="auto"/>
            </w:tcBorders>
            <w:vAlign w:val="center"/>
          </w:tcPr>
          <w:p w14:paraId="3C75FD41"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23.5%</w:t>
            </w:r>
          </w:p>
        </w:tc>
        <w:tc>
          <w:tcPr>
            <w:tcW w:w="1276" w:type="dxa"/>
            <w:tcBorders>
              <w:left w:val="single" w:sz="18" w:space="0" w:color="auto"/>
            </w:tcBorders>
            <w:shd w:val="clear" w:color="auto" w:fill="auto"/>
            <w:vAlign w:val="center"/>
          </w:tcPr>
          <w:p w14:paraId="158181F4"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20.7%</w:t>
            </w:r>
          </w:p>
        </w:tc>
        <w:tc>
          <w:tcPr>
            <w:tcW w:w="1276" w:type="dxa"/>
            <w:shd w:val="clear" w:color="auto" w:fill="auto"/>
            <w:vAlign w:val="center"/>
          </w:tcPr>
          <w:p w14:paraId="2463313A"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21.1%</w:t>
            </w:r>
          </w:p>
        </w:tc>
        <w:tc>
          <w:tcPr>
            <w:tcW w:w="1418" w:type="dxa"/>
            <w:tcBorders>
              <w:right w:val="single" w:sz="18" w:space="0" w:color="auto"/>
            </w:tcBorders>
            <w:shd w:val="clear" w:color="auto" w:fill="auto"/>
            <w:vAlign w:val="center"/>
          </w:tcPr>
          <w:p w14:paraId="0C6451C5"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 </w:t>
            </w:r>
          </w:p>
        </w:tc>
      </w:tr>
      <w:tr w:rsidR="006539EF" w:rsidRPr="003C0155" w:rsidDel="0033104F" w14:paraId="2B9924D1" w14:textId="77777777" w:rsidTr="000F38AA">
        <w:tc>
          <w:tcPr>
            <w:tcW w:w="3999" w:type="dxa"/>
            <w:tcBorders>
              <w:right w:val="single" w:sz="4" w:space="0" w:color="auto"/>
            </w:tcBorders>
            <w:shd w:val="clear" w:color="auto" w:fill="auto"/>
          </w:tcPr>
          <w:p w14:paraId="76CDACC7" w14:textId="77777777" w:rsidR="006539EF" w:rsidRPr="003C0155" w:rsidRDefault="006539EF" w:rsidP="000F38AA">
            <w:pPr>
              <w:rPr>
                <w:rFonts w:ascii="CorpoS" w:hAnsi="CorpoS"/>
                <w:i/>
                <w:sz w:val="22"/>
                <w:szCs w:val="22"/>
              </w:rPr>
            </w:pPr>
            <w:r>
              <w:rPr>
                <w:rFonts w:ascii="CorpoS" w:hAnsi="CorpoS"/>
                <w:i/>
                <w:sz w:val="22"/>
              </w:rPr>
              <w:t xml:space="preserve">   in commercial maintenance</w:t>
            </w:r>
          </w:p>
        </w:tc>
        <w:tc>
          <w:tcPr>
            <w:tcW w:w="1104" w:type="dxa"/>
            <w:tcBorders>
              <w:left w:val="single" w:sz="4" w:space="0" w:color="auto"/>
              <w:right w:val="single" w:sz="4" w:space="0" w:color="auto"/>
            </w:tcBorders>
            <w:vAlign w:val="center"/>
          </w:tcPr>
          <w:p w14:paraId="4B6A4A99"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6.0%</w:t>
            </w:r>
          </w:p>
        </w:tc>
        <w:tc>
          <w:tcPr>
            <w:tcW w:w="1134" w:type="dxa"/>
            <w:tcBorders>
              <w:left w:val="single" w:sz="4" w:space="0" w:color="auto"/>
              <w:right w:val="single" w:sz="18" w:space="0" w:color="auto"/>
            </w:tcBorders>
            <w:vAlign w:val="center"/>
          </w:tcPr>
          <w:p w14:paraId="47BCB69C"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7.4%</w:t>
            </w:r>
          </w:p>
        </w:tc>
        <w:tc>
          <w:tcPr>
            <w:tcW w:w="1276" w:type="dxa"/>
            <w:tcBorders>
              <w:left w:val="single" w:sz="18" w:space="0" w:color="auto"/>
            </w:tcBorders>
            <w:shd w:val="clear" w:color="auto" w:fill="auto"/>
            <w:vAlign w:val="center"/>
          </w:tcPr>
          <w:p w14:paraId="2DB64F25"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5.4%</w:t>
            </w:r>
          </w:p>
        </w:tc>
        <w:tc>
          <w:tcPr>
            <w:tcW w:w="1276" w:type="dxa"/>
            <w:shd w:val="clear" w:color="auto" w:fill="auto"/>
            <w:vAlign w:val="center"/>
          </w:tcPr>
          <w:p w14:paraId="46071B6D"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7.4%</w:t>
            </w:r>
          </w:p>
        </w:tc>
        <w:tc>
          <w:tcPr>
            <w:tcW w:w="1418" w:type="dxa"/>
            <w:tcBorders>
              <w:right w:val="single" w:sz="18" w:space="0" w:color="auto"/>
            </w:tcBorders>
            <w:shd w:val="clear" w:color="auto" w:fill="auto"/>
            <w:vAlign w:val="center"/>
          </w:tcPr>
          <w:p w14:paraId="19B40E66"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 </w:t>
            </w:r>
          </w:p>
        </w:tc>
      </w:tr>
      <w:tr w:rsidR="006539EF" w:rsidRPr="003C0155" w14:paraId="412D3B8A" w14:textId="77777777" w:rsidTr="000F38AA">
        <w:tc>
          <w:tcPr>
            <w:tcW w:w="3999" w:type="dxa"/>
            <w:tcBorders>
              <w:right w:val="single" w:sz="4" w:space="0" w:color="auto"/>
            </w:tcBorders>
            <w:shd w:val="clear" w:color="auto" w:fill="auto"/>
          </w:tcPr>
          <w:p w14:paraId="2D261D86" w14:textId="77777777" w:rsidR="006539EF" w:rsidRPr="003C0155" w:rsidRDefault="006539EF" w:rsidP="000F38AA">
            <w:pPr>
              <w:rPr>
                <w:rFonts w:ascii="CorpoS" w:hAnsi="CorpoS"/>
                <w:sz w:val="22"/>
                <w:szCs w:val="22"/>
              </w:rPr>
            </w:pPr>
            <w:r>
              <w:rPr>
                <w:rFonts w:ascii="CorpoS" w:hAnsi="CorpoS"/>
                <w:sz w:val="22"/>
              </w:rPr>
              <w:t>Adjusted net income</w:t>
            </w:r>
          </w:p>
        </w:tc>
        <w:tc>
          <w:tcPr>
            <w:tcW w:w="1104" w:type="dxa"/>
            <w:tcBorders>
              <w:left w:val="single" w:sz="4" w:space="0" w:color="auto"/>
              <w:right w:val="single" w:sz="4" w:space="0" w:color="auto"/>
            </w:tcBorders>
            <w:vAlign w:val="center"/>
          </w:tcPr>
          <w:p w14:paraId="2A476EFB"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122</w:t>
            </w:r>
          </w:p>
        </w:tc>
        <w:tc>
          <w:tcPr>
            <w:tcW w:w="1134" w:type="dxa"/>
            <w:tcBorders>
              <w:left w:val="single" w:sz="4" w:space="0" w:color="auto"/>
              <w:right w:val="single" w:sz="18" w:space="0" w:color="auto"/>
            </w:tcBorders>
            <w:vAlign w:val="center"/>
          </w:tcPr>
          <w:p w14:paraId="117949BC"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156</w:t>
            </w:r>
          </w:p>
        </w:tc>
        <w:tc>
          <w:tcPr>
            <w:tcW w:w="1276" w:type="dxa"/>
            <w:tcBorders>
              <w:left w:val="single" w:sz="18" w:space="0" w:color="auto"/>
            </w:tcBorders>
            <w:shd w:val="clear" w:color="auto" w:fill="auto"/>
            <w:vAlign w:val="center"/>
          </w:tcPr>
          <w:p w14:paraId="750E6DC3"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342</w:t>
            </w:r>
          </w:p>
        </w:tc>
        <w:tc>
          <w:tcPr>
            <w:tcW w:w="1276" w:type="dxa"/>
            <w:shd w:val="clear" w:color="auto" w:fill="auto"/>
            <w:vAlign w:val="center"/>
          </w:tcPr>
          <w:p w14:paraId="4595C215"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476</w:t>
            </w:r>
          </w:p>
        </w:tc>
        <w:tc>
          <w:tcPr>
            <w:tcW w:w="1418" w:type="dxa"/>
            <w:tcBorders>
              <w:right w:val="single" w:sz="18" w:space="0" w:color="auto"/>
            </w:tcBorders>
            <w:shd w:val="clear" w:color="auto" w:fill="auto"/>
            <w:vAlign w:val="center"/>
          </w:tcPr>
          <w:p w14:paraId="1D437D5E"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+ 39%</w:t>
            </w:r>
          </w:p>
        </w:tc>
      </w:tr>
      <w:tr w:rsidR="006539EF" w:rsidRPr="003C0155" w14:paraId="798E1660" w14:textId="77777777" w:rsidTr="000F38AA">
        <w:tc>
          <w:tcPr>
            <w:tcW w:w="3999" w:type="dxa"/>
            <w:tcBorders>
              <w:right w:val="single" w:sz="4" w:space="0" w:color="auto"/>
            </w:tcBorders>
            <w:shd w:val="clear" w:color="auto" w:fill="auto"/>
          </w:tcPr>
          <w:p w14:paraId="7F520667" w14:textId="77777777" w:rsidR="006539EF" w:rsidRPr="003C0155" w:rsidRDefault="006539EF" w:rsidP="000F38AA">
            <w:pPr>
              <w:rPr>
                <w:rFonts w:ascii="CorpoS" w:hAnsi="CorpoS"/>
                <w:sz w:val="22"/>
                <w:szCs w:val="22"/>
              </w:rPr>
            </w:pPr>
            <w:r>
              <w:rPr>
                <w:rFonts w:ascii="CorpoS" w:hAnsi="CorpoS"/>
                <w:sz w:val="22"/>
              </w:rPr>
              <w:t>Net income (reported)</w:t>
            </w:r>
          </w:p>
        </w:tc>
        <w:tc>
          <w:tcPr>
            <w:tcW w:w="1104" w:type="dxa"/>
            <w:tcBorders>
              <w:left w:val="single" w:sz="4" w:space="0" w:color="auto"/>
              <w:right w:val="single" w:sz="4" w:space="0" w:color="auto"/>
            </w:tcBorders>
            <w:vAlign w:val="center"/>
          </w:tcPr>
          <w:p w14:paraId="08CCA57E"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41</w:t>
            </w:r>
          </w:p>
        </w:tc>
        <w:tc>
          <w:tcPr>
            <w:tcW w:w="1134" w:type="dxa"/>
            <w:tcBorders>
              <w:left w:val="single" w:sz="4" w:space="0" w:color="auto"/>
              <w:right w:val="single" w:sz="18" w:space="0" w:color="auto"/>
            </w:tcBorders>
            <w:vAlign w:val="center"/>
          </w:tcPr>
          <w:p w14:paraId="2DF580DB"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121</w:t>
            </w:r>
          </w:p>
        </w:tc>
        <w:tc>
          <w:tcPr>
            <w:tcW w:w="1276" w:type="dxa"/>
            <w:tcBorders>
              <w:left w:val="single" w:sz="18" w:space="0" w:color="auto"/>
            </w:tcBorders>
            <w:shd w:val="clear" w:color="auto" w:fill="auto"/>
            <w:vAlign w:val="center"/>
          </w:tcPr>
          <w:p w14:paraId="3E5D203C"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231</w:t>
            </w:r>
          </w:p>
        </w:tc>
        <w:tc>
          <w:tcPr>
            <w:tcW w:w="1276" w:type="dxa"/>
            <w:shd w:val="clear" w:color="auto" w:fill="auto"/>
            <w:vAlign w:val="center"/>
          </w:tcPr>
          <w:p w14:paraId="15AA6D00"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333</w:t>
            </w:r>
          </w:p>
        </w:tc>
        <w:tc>
          <w:tcPr>
            <w:tcW w:w="1418" w:type="dxa"/>
            <w:tcBorders>
              <w:right w:val="single" w:sz="18" w:space="0" w:color="auto"/>
            </w:tcBorders>
            <w:shd w:val="clear" w:color="auto" w:fill="auto"/>
            <w:vAlign w:val="center"/>
          </w:tcPr>
          <w:p w14:paraId="46244C40"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+ 44%</w:t>
            </w:r>
          </w:p>
        </w:tc>
      </w:tr>
      <w:tr w:rsidR="006539EF" w:rsidRPr="003C0155" w14:paraId="4F85A192" w14:textId="77777777" w:rsidTr="000F38AA">
        <w:tc>
          <w:tcPr>
            <w:tcW w:w="3999" w:type="dxa"/>
            <w:tcBorders>
              <w:right w:val="single" w:sz="4" w:space="0" w:color="auto"/>
            </w:tcBorders>
            <w:shd w:val="clear" w:color="auto" w:fill="auto"/>
          </w:tcPr>
          <w:p w14:paraId="5AFD6CFD" w14:textId="77777777" w:rsidR="006539EF" w:rsidRPr="003C0155" w:rsidRDefault="006539EF" w:rsidP="000F38AA">
            <w:pPr>
              <w:rPr>
                <w:rFonts w:ascii="CorpoS" w:hAnsi="CorpoS"/>
                <w:sz w:val="22"/>
                <w:szCs w:val="22"/>
              </w:rPr>
            </w:pPr>
            <w:r>
              <w:rPr>
                <w:rFonts w:ascii="CorpoS" w:hAnsi="CorpoS"/>
                <w:sz w:val="22"/>
              </w:rPr>
              <w:t>Earnings per share (basic, reported)</w:t>
            </w:r>
          </w:p>
        </w:tc>
        <w:tc>
          <w:tcPr>
            <w:tcW w:w="1104" w:type="dxa"/>
            <w:tcBorders>
              <w:left w:val="single" w:sz="4" w:space="0" w:color="auto"/>
              <w:right w:val="single" w:sz="4" w:space="0" w:color="auto"/>
            </w:tcBorders>
            <w:vAlign w:val="center"/>
          </w:tcPr>
          <w:p w14:paraId="474B1986" w14:textId="77777777" w:rsidR="006539EF" w:rsidRDefault="006539EF" w:rsidP="000F38AA">
            <w:pPr>
              <w:ind w:firstLineChars="100" w:firstLine="220"/>
              <w:jc w:val="right"/>
              <w:rPr>
                <w:rFonts w:ascii="CorpoS" w:hAnsi="CorpoS" w:cs="Arial"/>
                <w:color w:val="000000"/>
                <w:sz w:val="22"/>
                <w:szCs w:val="22"/>
              </w:rPr>
            </w:pPr>
            <w:r>
              <w:rPr>
                <w:rFonts w:ascii="CorpoS" w:hAnsi="CorpoS" w:cs="Arial"/>
                <w:color w:val="000000"/>
                <w:sz w:val="22"/>
                <w:szCs w:val="22"/>
              </w:rPr>
              <w:t>0.67</w:t>
            </w:r>
          </w:p>
        </w:tc>
        <w:tc>
          <w:tcPr>
            <w:tcW w:w="1134" w:type="dxa"/>
            <w:tcBorders>
              <w:left w:val="single" w:sz="4" w:space="0" w:color="auto"/>
              <w:right w:val="single" w:sz="18" w:space="0" w:color="auto"/>
            </w:tcBorders>
            <w:vAlign w:val="center"/>
          </w:tcPr>
          <w:p w14:paraId="271F0DF0" w14:textId="77777777" w:rsidR="006539EF" w:rsidRDefault="006539EF" w:rsidP="000F38AA">
            <w:pPr>
              <w:ind w:firstLineChars="100" w:firstLine="220"/>
              <w:jc w:val="right"/>
              <w:rPr>
                <w:rFonts w:ascii="CorpoS" w:hAnsi="CorpoS" w:cs="Arial"/>
                <w:color w:val="000000"/>
                <w:sz w:val="22"/>
                <w:szCs w:val="22"/>
              </w:rPr>
            </w:pPr>
            <w:r>
              <w:rPr>
                <w:rFonts w:ascii="CorpoS" w:hAnsi="CorpoS" w:cs="Arial"/>
                <w:color w:val="000000"/>
                <w:sz w:val="22"/>
                <w:szCs w:val="22"/>
              </w:rPr>
              <w:t>2.23</w:t>
            </w:r>
          </w:p>
        </w:tc>
        <w:tc>
          <w:tcPr>
            <w:tcW w:w="1276" w:type="dxa"/>
            <w:tcBorders>
              <w:left w:val="single" w:sz="18" w:space="0" w:color="auto"/>
            </w:tcBorders>
            <w:shd w:val="clear" w:color="auto" w:fill="auto"/>
            <w:vAlign w:val="center"/>
          </w:tcPr>
          <w:p w14:paraId="6D666502" w14:textId="77777777" w:rsidR="006539EF" w:rsidRDefault="006539EF" w:rsidP="000F38AA">
            <w:pPr>
              <w:ind w:firstLineChars="100" w:firstLine="220"/>
              <w:jc w:val="right"/>
              <w:rPr>
                <w:rFonts w:ascii="CorpoS" w:hAnsi="CorpoS" w:cs="Arial"/>
                <w:color w:val="000000"/>
                <w:sz w:val="22"/>
                <w:szCs w:val="22"/>
              </w:rPr>
            </w:pPr>
            <w:r>
              <w:rPr>
                <w:rFonts w:ascii="CorpoS" w:hAnsi="CorpoS" w:cs="Arial"/>
                <w:color w:val="000000"/>
                <w:sz w:val="22"/>
                <w:szCs w:val="22"/>
              </w:rPr>
              <w:t>4.17</w:t>
            </w:r>
          </w:p>
        </w:tc>
        <w:tc>
          <w:tcPr>
            <w:tcW w:w="1276" w:type="dxa"/>
            <w:shd w:val="clear" w:color="auto" w:fill="auto"/>
            <w:vAlign w:val="center"/>
          </w:tcPr>
          <w:p w14:paraId="0C3E001B" w14:textId="77777777" w:rsidR="006539EF" w:rsidRDefault="006539EF" w:rsidP="000F38AA">
            <w:pPr>
              <w:ind w:firstLineChars="100" w:firstLine="220"/>
              <w:jc w:val="right"/>
              <w:rPr>
                <w:rFonts w:ascii="CorpoS" w:hAnsi="CorpoS" w:cs="Arial"/>
                <w:color w:val="000000"/>
                <w:sz w:val="22"/>
                <w:szCs w:val="22"/>
              </w:rPr>
            </w:pPr>
            <w:r>
              <w:rPr>
                <w:rFonts w:ascii="CorpoS" w:hAnsi="CorpoS" w:cs="Arial"/>
                <w:color w:val="000000"/>
                <w:sz w:val="22"/>
                <w:szCs w:val="22"/>
              </w:rPr>
              <w:t>6.21</w:t>
            </w:r>
          </w:p>
        </w:tc>
        <w:tc>
          <w:tcPr>
            <w:tcW w:w="1418" w:type="dxa"/>
            <w:tcBorders>
              <w:right w:val="single" w:sz="18" w:space="0" w:color="auto"/>
            </w:tcBorders>
            <w:shd w:val="clear" w:color="auto" w:fill="auto"/>
            <w:vAlign w:val="center"/>
          </w:tcPr>
          <w:p w14:paraId="4196C162" w14:textId="77777777" w:rsidR="006539EF" w:rsidRDefault="006539EF" w:rsidP="000F38AA">
            <w:pPr>
              <w:ind w:firstLineChars="100" w:firstLine="220"/>
              <w:jc w:val="right"/>
              <w:rPr>
                <w:rFonts w:ascii="CorpoS" w:hAnsi="CorpoS" w:cs="Arial"/>
                <w:color w:val="000000"/>
                <w:sz w:val="22"/>
                <w:szCs w:val="22"/>
              </w:rPr>
            </w:pPr>
            <w:r>
              <w:rPr>
                <w:rFonts w:ascii="CorpoS" w:hAnsi="CorpoS" w:cs="Arial"/>
                <w:sz w:val="22"/>
                <w:szCs w:val="22"/>
              </w:rPr>
              <w:t>+ 49%</w:t>
            </w:r>
          </w:p>
        </w:tc>
      </w:tr>
      <w:tr w:rsidR="006539EF" w:rsidRPr="003C0155" w14:paraId="3D559F75" w14:textId="77777777" w:rsidTr="000F38AA">
        <w:tc>
          <w:tcPr>
            <w:tcW w:w="3999" w:type="dxa"/>
            <w:tcBorders>
              <w:right w:val="single" w:sz="4" w:space="0" w:color="auto"/>
            </w:tcBorders>
            <w:shd w:val="clear" w:color="auto" w:fill="auto"/>
          </w:tcPr>
          <w:p w14:paraId="54943721" w14:textId="77777777" w:rsidR="006539EF" w:rsidRPr="003C0155" w:rsidRDefault="006539EF" w:rsidP="000F38AA">
            <w:pPr>
              <w:rPr>
                <w:rFonts w:ascii="CorpoS" w:hAnsi="CorpoS"/>
                <w:sz w:val="22"/>
                <w:szCs w:val="22"/>
              </w:rPr>
            </w:pPr>
            <w:r>
              <w:rPr>
                <w:rFonts w:ascii="CorpoS" w:hAnsi="CorpoS"/>
                <w:sz w:val="22"/>
              </w:rPr>
              <w:t>EBITDA (reported)</w:t>
            </w:r>
          </w:p>
        </w:tc>
        <w:tc>
          <w:tcPr>
            <w:tcW w:w="1104" w:type="dxa"/>
            <w:tcBorders>
              <w:left w:val="single" w:sz="4" w:space="0" w:color="auto"/>
              <w:right w:val="single" w:sz="4" w:space="0" w:color="auto"/>
            </w:tcBorders>
            <w:vAlign w:val="center"/>
          </w:tcPr>
          <w:p w14:paraId="5513C5B4"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221</w:t>
            </w:r>
          </w:p>
        </w:tc>
        <w:tc>
          <w:tcPr>
            <w:tcW w:w="1134" w:type="dxa"/>
            <w:tcBorders>
              <w:left w:val="single" w:sz="4" w:space="0" w:color="auto"/>
              <w:right w:val="single" w:sz="18" w:space="0" w:color="auto"/>
            </w:tcBorders>
            <w:vAlign w:val="center"/>
          </w:tcPr>
          <w:p w14:paraId="729466A0"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255</w:t>
            </w:r>
          </w:p>
        </w:tc>
        <w:tc>
          <w:tcPr>
            <w:tcW w:w="1276" w:type="dxa"/>
            <w:tcBorders>
              <w:left w:val="single" w:sz="18" w:space="0" w:color="auto"/>
            </w:tcBorders>
            <w:shd w:val="clear" w:color="auto" w:fill="auto"/>
            <w:vAlign w:val="center"/>
          </w:tcPr>
          <w:p w14:paraId="4231F8F8"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712</w:t>
            </w:r>
          </w:p>
        </w:tc>
        <w:tc>
          <w:tcPr>
            <w:tcW w:w="1276" w:type="dxa"/>
            <w:shd w:val="clear" w:color="auto" w:fill="auto"/>
            <w:vAlign w:val="center"/>
          </w:tcPr>
          <w:p w14:paraId="12290ADA"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865</w:t>
            </w:r>
          </w:p>
        </w:tc>
        <w:tc>
          <w:tcPr>
            <w:tcW w:w="1418" w:type="dxa"/>
            <w:tcBorders>
              <w:right w:val="single" w:sz="18" w:space="0" w:color="auto"/>
            </w:tcBorders>
            <w:shd w:val="clear" w:color="auto" w:fill="auto"/>
            <w:vAlign w:val="center"/>
          </w:tcPr>
          <w:p w14:paraId="4B920EFB"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+ 22%</w:t>
            </w:r>
          </w:p>
        </w:tc>
      </w:tr>
      <w:tr w:rsidR="006539EF" w:rsidRPr="003C0155" w14:paraId="69226476" w14:textId="77777777" w:rsidTr="000F38AA">
        <w:tc>
          <w:tcPr>
            <w:tcW w:w="3999" w:type="dxa"/>
            <w:tcBorders>
              <w:right w:val="single" w:sz="4" w:space="0" w:color="auto"/>
            </w:tcBorders>
            <w:shd w:val="clear" w:color="auto" w:fill="auto"/>
          </w:tcPr>
          <w:p w14:paraId="18D3110A" w14:textId="77777777" w:rsidR="006539EF" w:rsidRPr="003C0155" w:rsidRDefault="006539EF" w:rsidP="000F38AA">
            <w:pPr>
              <w:rPr>
                <w:rFonts w:ascii="CorpoS" w:hAnsi="CorpoS"/>
                <w:sz w:val="22"/>
                <w:szCs w:val="22"/>
              </w:rPr>
            </w:pPr>
            <w:r>
              <w:rPr>
                <w:rFonts w:ascii="CorpoS" w:hAnsi="CorpoS"/>
                <w:sz w:val="22"/>
              </w:rPr>
              <w:t>Free cash flow</w:t>
            </w:r>
          </w:p>
        </w:tc>
        <w:tc>
          <w:tcPr>
            <w:tcW w:w="1104" w:type="dxa"/>
            <w:tcBorders>
              <w:left w:val="single" w:sz="4" w:space="0" w:color="auto"/>
              <w:right w:val="single" w:sz="4" w:space="0" w:color="auto"/>
            </w:tcBorders>
            <w:vAlign w:val="center"/>
          </w:tcPr>
          <w:p w14:paraId="744175AF"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35</w:t>
            </w:r>
          </w:p>
        </w:tc>
        <w:tc>
          <w:tcPr>
            <w:tcW w:w="1134" w:type="dxa"/>
            <w:tcBorders>
              <w:left w:val="single" w:sz="4" w:space="0" w:color="auto"/>
              <w:right w:val="single" w:sz="18" w:space="0" w:color="auto"/>
            </w:tcBorders>
            <w:vAlign w:val="center"/>
          </w:tcPr>
          <w:p w14:paraId="0E4CBE9A"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107</w:t>
            </w:r>
          </w:p>
        </w:tc>
        <w:tc>
          <w:tcPr>
            <w:tcW w:w="1276" w:type="dxa"/>
            <w:tcBorders>
              <w:left w:val="single" w:sz="18" w:space="0" w:color="auto"/>
            </w:tcBorders>
            <w:shd w:val="clear" w:color="auto" w:fill="auto"/>
            <w:vAlign w:val="center"/>
          </w:tcPr>
          <w:p w14:paraId="3138CF85"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240</w:t>
            </w:r>
          </w:p>
        </w:tc>
        <w:tc>
          <w:tcPr>
            <w:tcW w:w="1276" w:type="dxa"/>
            <w:shd w:val="clear" w:color="auto" w:fill="auto"/>
            <w:vAlign w:val="center"/>
          </w:tcPr>
          <w:p w14:paraId="6B7DF648"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326</w:t>
            </w:r>
          </w:p>
        </w:tc>
        <w:tc>
          <w:tcPr>
            <w:tcW w:w="1418" w:type="dxa"/>
            <w:tcBorders>
              <w:right w:val="single" w:sz="18" w:space="0" w:color="auto"/>
            </w:tcBorders>
            <w:shd w:val="clear" w:color="auto" w:fill="auto"/>
            <w:vAlign w:val="center"/>
          </w:tcPr>
          <w:p w14:paraId="5A5E279C"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+ 36%</w:t>
            </w:r>
          </w:p>
        </w:tc>
      </w:tr>
      <w:tr w:rsidR="006539EF" w:rsidRPr="003C0155" w14:paraId="38BA793B" w14:textId="77777777" w:rsidTr="000F38AA">
        <w:tc>
          <w:tcPr>
            <w:tcW w:w="3999" w:type="dxa"/>
            <w:tcBorders>
              <w:right w:val="single" w:sz="4" w:space="0" w:color="auto"/>
            </w:tcBorders>
            <w:shd w:val="clear" w:color="auto" w:fill="auto"/>
          </w:tcPr>
          <w:p w14:paraId="6774E612" w14:textId="77777777" w:rsidR="006539EF" w:rsidRPr="003C0155" w:rsidRDefault="006539EF" w:rsidP="000F38AA">
            <w:pPr>
              <w:rPr>
                <w:rFonts w:ascii="CorpoS" w:hAnsi="CorpoS"/>
                <w:sz w:val="22"/>
                <w:szCs w:val="22"/>
              </w:rPr>
            </w:pPr>
            <w:r>
              <w:rPr>
                <w:rFonts w:ascii="CorpoS" w:hAnsi="CorpoS"/>
                <w:sz w:val="22"/>
              </w:rPr>
              <w:t>Research and development expenses</w:t>
            </w:r>
          </w:p>
        </w:tc>
        <w:tc>
          <w:tcPr>
            <w:tcW w:w="1104" w:type="dxa"/>
            <w:tcBorders>
              <w:left w:val="single" w:sz="4" w:space="0" w:color="auto"/>
              <w:right w:val="single" w:sz="4" w:space="0" w:color="auto"/>
            </w:tcBorders>
            <w:vAlign w:val="center"/>
          </w:tcPr>
          <w:p w14:paraId="0AAB2D43"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68</w:t>
            </w:r>
          </w:p>
        </w:tc>
        <w:tc>
          <w:tcPr>
            <w:tcW w:w="1134" w:type="dxa"/>
            <w:tcBorders>
              <w:left w:val="single" w:sz="4" w:space="0" w:color="auto"/>
              <w:right w:val="single" w:sz="18" w:space="0" w:color="auto"/>
            </w:tcBorders>
            <w:vAlign w:val="center"/>
          </w:tcPr>
          <w:p w14:paraId="63F42C51"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74</w:t>
            </w:r>
          </w:p>
        </w:tc>
        <w:tc>
          <w:tcPr>
            <w:tcW w:w="1276" w:type="dxa"/>
            <w:tcBorders>
              <w:left w:val="single" w:sz="18" w:space="0" w:color="auto"/>
            </w:tcBorders>
            <w:shd w:val="clear" w:color="auto" w:fill="auto"/>
            <w:vAlign w:val="center"/>
          </w:tcPr>
          <w:p w14:paraId="29551C7C"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230</w:t>
            </w:r>
          </w:p>
        </w:tc>
        <w:tc>
          <w:tcPr>
            <w:tcW w:w="1276" w:type="dxa"/>
            <w:shd w:val="clear" w:color="auto" w:fill="auto"/>
            <w:vAlign w:val="center"/>
          </w:tcPr>
          <w:p w14:paraId="41327A98"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265</w:t>
            </w:r>
          </w:p>
        </w:tc>
        <w:tc>
          <w:tcPr>
            <w:tcW w:w="1418" w:type="dxa"/>
            <w:tcBorders>
              <w:right w:val="single" w:sz="18" w:space="0" w:color="auto"/>
            </w:tcBorders>
            <w:shd w:val="clear" w:color="auto" w:fill="auto"/>
            <w:vAlign w:val="center"/>
          </w:tcPr>
          <w:p w14:paraId="4895DFE0"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+ 15%</w:t>
            </w:r>
          </w:p>
        </w:tc>
      </w:tr>
      <w:tr w:rsidR="006539EF" w:rsidRPr="003C0155" w14:paraId="0DBE7C9E" w14:textId="77777777" w:rsidTr="000F38AA">
        <w:tc>
          <w:tcPr>
            <w:tcW w:w="3999" w:type="dxa"/>
            <w:tcBorders>
              <w:right w:val="single" w:sz="4" w:space="0" w:color="auto"/>
            </w:tcBorders>
            <w:shd w:val="clear" w:color="auto" w:fill="auto"/>
          </w:tcPr>
          <w:p w14:paraId="64C992A4" w14:textId="77777777" w:rsidR="006539EF" w:rsidRPr="003C0155" w:rsidRDefault="006539EF" w:rsidP="000F38AA">
            <w:pPr>
              <w:rPr>
                <w:rFonts w:ascii="CorpoS" w:hAnsi="CorpoS"/>
                <w:sz w:val="22"/>
                <w:szCs w:val="22"/>
              </w:rPr>
            </w:pPr>
            <w:r>
              <w:rPr>
                <w:rFonts w:ascii="CorpoS" w:hAnsi="CorpoS"/>
                <w:sz w:val="22"/>
              </w:rPr>
              <w:t xml:space="preserve">   thereof company-funded</w:t>
            </w:r>
          </w:p>
        </w:tc>
        <w:tc>
          <w:tcPr>
            <w:tcW w:w="1104" w:type="dxa"/>
            <w:tcBorders>
              <w:left w:val="single" w:sz="4" w:space="0" w:color="auto"/>
              <w:right w:val="single" w:sz="4" w:space="0" w:color="auto"/>
            </w:tcBorders>
            <w:vAlign w:val="center"/>
          </w:tcPr>
          <w:p w14:paraId="240B7EFD"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44</w:t>
            </w:r>
          </w:p>
        </w:tc>
        <w:tc>
          <w:tcPr>
            <w:tcW w:w="1134" w:type="dxa"/>
            <w:tcBorders>
              <w:left w:val="single" w:sz="4" w:space="0" w:color="auto"/>
              <w:right w:val="single" w:sz="18" w:space="0" w:color="auto"/>
            </w:tcBorders>
            <w:vAlign w:val="center"/>
          </w:tcPr>
          <w:p w14:paraId="6813687B"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54</w:t>
            </w:r>
          </w:p>
        </w:tc>
        <w:tc>
          <w:tcPr>
            <w:tcW w:w="1276" w:type="dxa"/>
            <w:tcBorders>
              <w:left w:val="single" w:sz="18" w:space="0" w:color="auto"/>
            </w:tcBorders>
            <w:shd w:val="clear" w:color="auto" w:fill="auto"/>
            <w:vAlign w:val="center"/>
          </w:tcPr>
          <w:p w14:paraId="4B9C15D8"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160</w:t>
            </w:r>
          </w:p>
        </w:tc>
        <w:tc>
          <w:tcPr>
            <w:tcW w:w="1276" w:type="dxa"/>
            <w:shd w:val="clear" w:color="auto" w:fill="auto"/>
            <w:vAlign w:val="center"/>
          </w:tcPr>
          <w:p w14:paraId="3DFECD2B"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201</w:t>
            </w:r>
          </w:p>
        </w:tc>
        <w:tc>
          <w:tcPr>
            <w:tcW w:w="1418" w:type="dxa"/>
            <w:tcBorders>
              <w:right w:val="single" w:sz="18" w:space="0" w:color="auto"/>
            </w:tcBorders>
            <w:shd w:val="clear" w:color="auto" w:fill="auto"/>
            <w:vAlign w:val="center"/>
          </w:tcPr>
          <w:p w14:paraId="7311D252"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+ 25%</w:t>
            </w:r>
          </w:p>
        </w:tc>
      </w:tr>
      <w:tr w:rsidR="006539EF" w:rsidRPr="003C0155" w14:paraId="7737B363" w14:textId="77777777" w:rsidTr="000F38AA">
        <w:tc>
          <w:tcPr>
            <w:tcW w:w="3999" w:type="dxa"/>
            <w:tcBorders>
              <w:bottom w:val="single" w:sz="4" w:space="0" w:color="auto"/>
              <w:right w:val="single" w:sz="4" w:space="0" w:color="auto"/>
            </w:tcBorders>
            <w:shd w:val="clear" w:color="auto" w:fill="auto"/>
          </w:tcPr>
          <w:p w14:paraId="5FBF715E" w14:textId="77777777" w:rsidR="006539EF" w:rsidRPr="003C0155" w:rsidRDefault="006539EF" w:rsidP="000F38AA">
            <w:pPr>
              <w:rPr>
                <w:rFonts w:ascii="CorpoS" w:hAnsi="CorpoS"/>
                <w:sz w:val="22"/>
                <w:szCs w:val="22"/>
              </w:rPr>
            </w:pPr>
            <w:r>
              <w:rPr>
                <w:rFonts w:ascii="CorpoS" w:hAnsi="CorpoS"/>
                <w:sz w:val="22"/>
              </w:rPr>
              <w:t xml:space="preserve">   thereof customer-funded</w:t>
            </w:r>
          </w:p>
        </w:tc>
        <w:tc>
          <w:tcPr>
            <w:tcW w:w="1104" w:type="dxa"/>
            <w:tcBorders>
              <w:left w:val="single" w:sz="4" w:space="0" w:color="auto"/>
              <w:bottom w:val="single" w:sz="4" w:space="0" w:color="auto"/>
              <w:right w:val="single" w:sz="4" w:space="0" w:color="auto"/>
            </w:tcBorders>
            <w:vAlign w:val="center"/>
          </w:tcPr>
          <w:p w14:paraId="4E6D1749"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24</w:t>
            </w:r>
          </w:p>
        </w:tc>
        <w:tc>
          <w:tcPr>
            <w:tcW w:w="1134" w:type="dxa"/>
            <w:tcBorders>
              <w:left w:val="single" w:sz="4" w:space="0" w:color="auto"/>
              <w:bottom w:val="single" w:sz="4" w:space="0" w:color="auto"/>
              <w:right w:val="single" w:sz="18" w:space="0" w:color="auto"/>
            </w:tcBorders>
            <w:vAlign w:val="center"/>
          </w:tcPr>
          <w:p w14:paraId="4A233A30"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20</w:t>
            </w:r>
          </w:p>
        </w:tc>
        <w:tc>
          <w:tcPr>
            <w:tcW w:w="1276" w:type="dxa"/>
            <w:tcBorders>
              <w:left w:val="single" w:sz="18" w:space="0" w:color="auto"/>
              <w:bottom w:val="single" w:sz="4" w:space="0" w:color="auto"/>
            </w:tcBorders>
            <w:shd w:val="clear" w:color="auto" w:fill="auto"/>
            <w:vAlign w:val="center"/>
          </w:tcPr>
          <w:p w14:paraId="447C2824"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70</w:t>
            </w:r>
          </w:p>
        </w:tc>
        <w:tc>
          <w:tcPr>
            <w:tcW w:w="1276" w:type="dxa"/>
            <w:tcBorders>
              <w:bottom w:val="single" w:sz="4" w:space="0" w:color="auto"/>
            </w:tcBorders>
            <w:shd w:val="clear" w:color="auto" w:fill="auto"/>
            <w:vAlign w:val="center"/>
          </w:tcPr>
          <w:p w14:paraId="6A1CCBB6"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65</w:t>
            </w:r>
          </w:p>
        </w:tc>
        <w:tc>
          <w:tcPr>
            <w:tcW w:w="1418" w:type="dxa"/>
            <w:tcBorders>
              <w:bottom w:val="single" w:sz="4" w:space="0" w:color="auto"/>
              <w:right w:val="single" w:sz="18" w:space="0" w:color="auto"/>
            </w:tcBorders>
            <w:shd w:val="clear" w:color="auto" w:fill="auto"/>
            <w:vAlign w:val="center"/>
          </w:tcPr>
          <w:p w14:paraId="6DBFEEC3"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- 7%</w:t>
            </w:r>
          </w:p>
        </w:tc>
      </w:tr>
      <w:tr w:rsidR="006539EF" w:rsidRPr="003C0155" w14:paraId="5E0E1EE8" w14:textId="77777777" w:rsidTr="000F38AA">
        <w:tc>
          <w:tcPr>
            <w:tcW w:w="3999" w:type="dxa"/>
            <w:tcBorders>
              <w:right w:val="single" w:sz="4" w:space="0" w:color="auto"/>
            </w:tcBorders>
            <w:shd w:val="clear" w:color="auto" w:fill="auto"/>
          </w:tcPr>
          <w:p w14:paraId="2EE9C33E" w14:textId="77777777" w:rsidR="006539EF" w:rsidRPr="003C0155" w:rsidRDefault="006539EF" w:rsidP="000F38AA">
            <w:pPr>
              <w:rPr>
                <w:rFonts w:ascii="CorpoS" w:hAnsi="CorpoS"/>
                <w:sz w:val="22"/>
                <w:szCs w:val="22"/>
              </w:rPr>
            </w:pPr>
            <w:r>
              <w:rPr>
                <w:rFonts w:ascii="CorpoS" w:hAnsi="CorpoS"/>
                <w:i/>
                <w:sz w:val="22"/>
              </w:rPr>
              <w:t>Company-funded R&amp;D expenses as stated in the income statement</w:t>
            </w:r>
          </w:p>
        </w:tc>
        <w:tc>
          <w:tcPr>
            <w:tcW w:w="1104" w:type="dxa"/>
            <w:tcBorders>
              <w:left w:val="single" w:sz="4" w:space="0" w:color="auto"/>
              <w:right w:val="single" w:sz="4" w:space="0" w:color="auto"/>
            </w:tcBorders>
            <w:vAlign w:val="center"/>
          </w:tcPr>
          <w:p w14:paraId="58F3F91D"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24</w:t>
            </w:r>
          </w:p>
        </w:tc>
        <w:tc>
          <w:tcPr>
            <w:tcW w:w="1134" w:type="dxa"/>
            <w:tcBorders>
              <w:left w:val="single" w:sz="4" w:space="0" w:color="auto"/>
              <w:right w:val="single" w:sz="18" w:space="0" w:color="auto"/>
            </w:tcBorders>
            <w:vAlign w:val="center"/>
          </w:tcPr>
          <w:p w14:paraId="22A8B457"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30</w:t>
            </w:r>
          </w:p>
        </w:tc>
        <w:tc>
          <w:tcPr>
            <w:tcW w:w="1276" w:type="dxa"/>
            <w:tcBorders>
              <w:left w:val="single" w:sz="18" w:space="0" w:color="auto"/>
              <w:bottom w:val="single" w:sz="4" w:space="0" w:color="auto"/>
            </w:tcBorders>
            <w:shd w:val="clear" w:color="auto" w:fill="auto"/>
            <w:vAlign w:val="center"/>
          </w:tcPr>
          <w:p w14:paraId="3D1B292D"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83</w:t>
            </w:r>
          </w:p>
        </w:tc>
        <w:tc>
          <w:tcPr>
            <w:tcW w:w="1276" w:type="dxa"/>
            <w:tcBorders>
              <w:bottom w:val="single" w:sz="4" w:space="0" w:color="auto"/>
            </w:tcBorders>
            <w:shd w:val="clear" w:color="auto" w:fill="auto"/>
            <w:vAlign w:val="center"/>
          </w:tcPr>
          <w:p w14:paraId="56076655"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106</w:t>
            </w:r>
          </w:p>
        </w:tc>
        <w:tc>
          <w:tcPr>
            <w:tcW w:w="1418" w:type="dxa"/>
            <w:tcBorders>
              <w:bottom w:val="single" w:sz="4" w:space="0" w:color="auto"/>
              <w:right w:val="single" w:sz="18" w:space="0" w:color="auto"/>
            </w:tcBorders>
            <w:shd w:val="clear" w:color="auto" w:fill="auto"/>
            <w:vAlign w:val="center"/>
          </w:tcPr>
          <w:p w14:paraId="74EDB38D" w14:textId="77777777" w:rsidR="006539EF" w:rsidRDefault="006539EF" w:rsidP="000F38AA">
            <w:pPr>
              <w:ind w:firstLineChars="100" w:firstLine="220"/>
              <w:jc w:val="right"/>
              <w:rPr>
                <w:rFonts w:ascii="CorpoS" w:hAnsi="CorpoS" w:cs="Arial"/>
                <w:i/>
                <w:iCs/>
                <w:sz w:val="22"/>
                <w:szCs w:val="22"/>
              </w:rPr>
            </w:pPr>
            <w:r>
              <w:rPr>
                <w:rFonts w:ascii="CorpoS" w:hAnsi="CorpoS" w:cs="Arial"/>
                <w:i/>
                <w:iCs/>
                <w:sz w:val="22"/>
                <w:szCs w:val="22"/>
              </w:rPr>
              <w:t>+ 27%</w:t>
            </w:r>
          </w:p>
        </w:tc>
      </w:tr>
      <w:tr w:rsidR="006539EF" w:rsidRPr="003C0155" w14:paraId="5E4C581D" w14:textId="77777777" w:rsidTr="000F38AA">
        <w:tc>
          <w:tcPr>
            <w:tcW w:w="3999" w:type="dxa"/>
            <w:tcBorders>
              <w:right w:val="single" w:sz="4" w:space="0" w:color="auto"/>
            </w:tcBorders>
            <w:shd w:val="clear" w:color="auto" w:fill="auto"/>
          </w:tcPr>
          <w:p w14:paraId="5EC49FB1" w14:textId="77777777" w:rsidR="006539EF" w:rsidRPr="003C0155" w:rsidRDefault="006539EF" w:rsidP="000F38AA">
            <w:pPr>
              <w:rPr>
                <w:rFonts w:ascii="CorpoS" w:hAnsi="CorpoS"/>
                <w:sz w:val="22"/>
                <w:szCs w:val="22"/>
              </w:rPr>
            </w:pPr>
            <w:r>
              <w:rPr>
                <w:rFonts w:ascii="CorpoS" w:hAnsi="CorpoS"/>
                <w:sz w:val="22"/>
              </w:rPr>
              <w:t>Net capital expenditure on property, plant and equipment</w:t>
            </w:r>
          </w:p>
        </w:tc>
        <w:tc>
          <w:tcPr>
            <w:tcW w:w="1104" w:type="dxa"/>
            <w:tcBorders>
              <w:left w:val="single" w:sz="4" w:space="0" w:color="auto"/>
              <w:right w:val="single" w:sz="4" w:space="0" w:color="auto"/>
            </w:tcBorders>
            <w:vAlign w:val="center"/>
          </w:tcPr>
          <w:p w14:paraId="382F3B58"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125</w:t>
            </w:r>
          </w:p>
        </w:tc>
        <w:tc>
          <w:tcPr>
            <w:tcW w:w="1134" w:type="dxa"/>
            <w:tcBorders>
              <w:left w:val="single" w:sz="4" w:space="0" w:color="auto"/>
              <w:right w:val="single" w:sz="18" w:space="0" w:color="auto"/>
            </w:tcBorders>
            <w:vAlign w:val="center"/>
          </w:tcPr>
          <w:p w14:paraId="070463FB"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136</w:t>
            </w:r>
          </w:p>
        </w:tc>
        <w:tc>
          <w:tcPr>
            <w:tcW w:w="1276" w:type="dxa"/>
            <w:tcBorders>
              <w:left w:val="single" w:sz="18" w:space="0" w:color="auto"/>
              <w:bottom w:val="single" w:sz="4" w:space="0" w:color="auto"/>
            </w:tcBorders>
            <w:shd w:val="clear" w:color="auto" w:fill="auto"/>
            <w:vAlign w:val="center"/>
          </w:tcPr>
          <w:p w14:paraId="4E7C52D3"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241</w:t>
            </w:r>
          </w:p>
        </w:tc>
        <w:tc>
          <w:tcPr>
            <w:tcW w:w="1276" w:type="dxa"/>
            <w:tcBorders>
              <w:bottom w:val="single" w:sz="4" w:space="0" w:color="auto"/>
            </w:tcBorders>
            <w:shd w:val="clear" w:color="auto" w:fill="auto"/>
            <w:vAlign w:val="center"/>
          </w:tcPr>
          <w:p w14:paraId="12823CCD"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306</w:t>
            </w:r>
          </w:p>
        </w:tc>
        <w:tc>
          <w:tcPr>
            <w:tcW w:w="1418" w:type="dxa"/>
            <w:tcBorders>
              <w:bottom w:val="single" w:sz="4" w:space="0" w:color="auto"/>
              <w:right w:val="single" w:sz="18" w:space="0" w:color="auto"/>
            </w:tcBorders>
            <w:shd w:val="clear" w:color="auto" w:fill="auto"/>
            <w:vAlign w:val="center"/>
          </w:tcPr>
          <w:p w14:paraId="29633747"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+ 27%</w:t>
            </w:r>
          </w:p>
        </w:tc>
      </w:tr>
      <w:tr w:rsidR="006539EF" w:rsidRPr="003C0155" w14:paraId="5A102EC3" w14:textId="77777777" w:rsidTr="000F38AA">
        <w:trPr>
          <w:trHeight w:val="81"/>
        </w:trPr>
        <w:tc>
          <w:tcPr>
            <w:tcW w:w="6237" w:type="dxa"/>
            <w:gridSpan w:val="3"/>
            <w:tcBorders>
              <w:right w:val="single" w:sz="18" w:space="0" w:color="auto"/>
            </w:tcBorders>
            <w:shd w:val="clear" w:color="auto" w:fill="auto"/>
          </w:tcPr>
          <w:p w14:paraId="31DD28A7" w14:textId="77777777" w:rsidR="006539EF" w:rsidRPr="003C0155" w:rsidRDefault="006539EF" w:rsidP="000F38AA">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0C6D5986" w14:textId="77777777" w:rsidR="006539EF" w:rsidRPr="003C0155" w:rsidRDefault="006539EF" w:rsidP="000F38AA">
            <w:pPr>
              <w:ind w:right="33"/>
              <w:jc w:val="right"/>
              <w:rPr>
                <w:rFonts w:ascii="CorpoS" w:hAnsi="CorpoS"/>
                <w:b/>
                <w:sz w:val="8"/>
                <w:szCs w:val="8"/>
              </w:rPr>
            </w:pPr>
          </w:p>
        </w:tc>
      </w:tr>
      <w:tr w:rsidR="006539EF" w:rsidRPr="003C0155" w14:paraId="19A5A69F" w14:textId="77777777" w:rsidTr="000F38AA">
        <w:tc>
          <w:tcPr>
            <w:tcW w:w="3999" w:type="dxa"/>
            <w:tcBorders>
              <w:right w:val="single" w:sz="4" w:space="0" w:color="auto"/>
            </w:tcBorders>
            <w:shd w:val="clear" w:color="auto" w:fill="auto"/>
          </w:tcPr>
          <w:p w14:paraId="39DEDAD0" w14:textId="77777777" w:rsidR="006539EF" w:rsidRPr="003C0155" w:rsidRDefault="006539EF" w:rsidP="000F38AA">
            <w:pPr>
              <w:rPr>
                <w:rFonts w:ascii="CorpoS" w:hAnsi="CorpoS"/>
                <w:sz w:val="22"/>
                <w:szCs w:val="22"/>
              </w:rPr>
            </w:pPr>
            <w:r>
              <w:lastRenderedPageBreak/>
              <w:br w:type="page"/>
            </w:r>
          </w:p>
        </w:tc>
        <w:tc>
          <w:tcPr>
            <w:tcW w:w="1104" w:type="dxa"/>
            <w:tcBorders>
              <w:left w:val="single" w:sz="4" w:space="0" w:color="auto"/>
              <w:right w:val="single" w:sz="4" w:space="0" w:color="auto"/>
            </w:tcBorders>
          </w:tcPr>
          <w:p w14:paraId="357D2D96" w14:textId="77777777" w:rsidR="006539EF" w:rsidRPr="003C0155" w:rsidRDefault="006539EF" w:rsidP="000F38AA">
            <w:pPr>
              <w:jc w:val="right"/>
              <w:rPr>
                <w:rFonts w:ascii="CorpoS" w:hAnsi="CorpoS"/>
                <w:b/>
                <w:sz w:val="22"/>
                <w:szCs w:val="22"/>
              </w:rPr>
            </w:pPr>
          </w:p>
        </w:tc>
        <w:tc>
          <w:tcPr>
            <w:tcW w:w="1134" w:type="dxa"/>
            <w:tcBorders>
              <w:left w:val="single" w:sz="4" w:space="0" w:color="auto"/>
              <w:right w:val="single" w:sz="18" w:space="0" w:color="auto"/>
            </w:tcBorders>
          </w:tcPr>
          <w:p w14:paraId="1E4AAD09" w14:textId="77777777" w:rsidR="006539EF" w:rsidRPr="003C0155" w:rsidRDefault="006539EF" w:rsidP="000F38AA">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31DCE812" w14:textId="77777777" w:rsidR="006539EF" w:rsidRPr="003C0155" w:rsidRDefault="006539EF" w:rsidP="000F38AA">
            <w:pPr>
              <w:jc w:val="right"/>
              <w:rPr>
                <w:rFonts w:ascii="CorpoS" w:hAnsi="CorpoS"/>
                <w:b/>
                <w:sz w:val="22"/>
                <w:szCs w:val="22"/>
              </w:rPr>
            </w:pPr>
            <w:r>
              <w:rPr>
                <w:rFonts w:ascii="CorpoS" w:hAnsi="CorpoS"/>
                <w:b/>
                <w:sz w:val="22"/>
              </w:rPr>
              <w:t>Dec. 31, 2021</w:t>
            </w:r>
          </w:p>
        </w:tc>
        <w:tc>
          <w:tcPr>
            <w:tcW w:w="1276" w:type="dxa"/>
            <w:tcBorders>
              <w:bottom w:val="single" w:sz="4" w:space="0" w:color="auto"/>
            </w:tcBorders>
            <w:shd w:val="clear" w:color="auto" w:fill="auto"/>
          </w:tcPr>
          <w:p w14:paraId="02BFBE0E" w14:textId="77777777" w:rsidR="006539EF" w:rsidRPr="003C0155" w:rsidRDefault="006539EF" w:rsidP="000F38AA">
            <w:pPr>
              <w:jc w:val="right"/>
              <w:rPr>
                <w:rFonts w:ascii="CorpoS" w:hAnsi="CorpoS"/>
                <w:b/>
                <w:sz w:val="22"/>
                <w:szCs w:val="22"/>
              </w:rPr>
            </w:pPr>
            <w:r>
              <w:rPr>
                <w:rFonts w:ascii="CorpoS" w:hAnsi="CorpoS"/>
                <w:b/>
                <w:sz w:val="22"/>
              </w:rPr>
              <w:t>Dec. 31, 2022</w:t>
            </w:r>
          </w:p>
        </w:tc>
        <w:tc>
          <w:tcPr>
            <w:tcW w:w="1418" w:type="dxa"/>
            <w:tcBorders>
              <w:bottom w:val="single" w:sz="4" w:space="0" w:color="auto"/>
              <w:right w:val="single" w:sz="18" w:space="0" w:color="auto"/>
            </w:tcBorders>
            <w:shd w:val="clear" w:color="auto" w:fill="auto"/>
          </w:tcPr>
          <w:p w14:paraId="10EAC574" w14:textId="77777777" w:rsidR="006539EF" w:rsidRPr="003C0155" w:rsidRDefault="006539EF" w:rsidP="000F38AA">
            <w:pPr>
              <w:ind w:right="33"/>
              <w:rPr>
                <w:rFonts w:ascii="CorpoS" w:hAnsi="CorpoS"/>
                <w:b/>
                <w:sz w:val="22"/>
                <w:szCs w:val="22"/>
              </w:rPr>
            </w:pPr>
            <w:r>
              <w:rPr>
                <w:rFonts w:ascii="CorpoS" w:hAnsi="CorpoS"/>
                <w:b/>
                <w:sz w:val="22"/>
              </w:rPr>
              <w:t>Change</w:t>
            </w:r>
          </w:p>
        </w:tc>
      </w:tr>
      <w:tr w:rsidR="006539EF" w:rsidRPr="003C0155" w14:paraId="3E583809" w14:textId="77777777" w:rsidTr="000F38AA">
        <w:tc>
          <w:tcPr>
            <w:tcW w:w="3999" w:type="dxa"/>
            <w:tcBorders>
              <w:right w:val="single" w:sz="4" w:space="0" w:color="auto"/>
            </w:tcBorders>
            <w:shd w:val="clear" w:color="auto" w:fill="auto"/>
          </w:tcPr>
          <w:p w14:paraId="02F5E414" w14:textId="77777777" w:rsidR="006539EF" w:rsidRPr="003C0155" w:rsidRDefault="006539EF" w:rsidP="000F38AA">
            <w:pPr>
              <w:rPr>
                <w:rFonts w:ascii="CorpoS" w:hAnsi="CorpoS"/>
                <w:b/>
                <w:sz w:val="22"/>
                <w:szCs w:val="22"/>
              </w:rPr>
            </w:pPr>
            <w:r>
              <w:rPr>
                <w:rFonts w:ascii="CorpoS" w:hAnsi="CorpoS"/>
                <w:b/>
                <w:sz w:val="22"/>
              </w:rPr>
              <w:t>Balance sheet key figures</w:t>
            </w:r>
          </w:p>
        </w:tc>
        <w:tc>
          <w:tcPr>
            <w:tcW w:w="1104" w:type="dxa"/>
            <w:tcBorders>
              <w:left w:val="single" w:sz="4" w:space="0" w:color="auto"/>
              <w:right w:val="single" w:sz="4" w:space="0" w:color="auto"/>
            </w:tcBorders>
          </w:tcPr>
          <w:p w14:paraId="2E3B7D3A" w14:textId="77777777" w:rsidR="006539EF" w:rsidRPr="00C5746C" w:rsidRDefault="006539EF" w:rsidP="000F38AA">
            <w:pPr>
              <w:jc w:val="right"/>
              <w:rPr>
                <w:rFonts w:ascii="CorpoS" w:hAnsi="CorpoS"/>
                <w:sz w:val="22"/>
                <w:szCs w:val="22"/>
              </w:rPr>
            </w:pPr>
          </w:p>
        </w:tc>
        <w:tc>
          <w:tcPr>
            <w:tcW w:w="1134" w:type="dxa"/>
            <w:tcBorders>
              <w:left w:val="single" w:sz="4" w:space="0" w:color="auto"/>
              <w:right w:val="single" w:sz="18" w:space="0" w:color="auto"/>
            </w:tcBorders>
          </w:tcPr>
          <w:p w14:paraId="3B3FE91F" w14:textId="77777777" w:rsidR="006539EF" w:rsidRPr="00C5746C" w:rsidRDefault="006539EF" w:rsidP="000F38AA">
            <w:pPr>
              <w:jc w:val="right"/>
              <w:rPr>
                <w:rFonts w:ascii="CorpoS" w:hAnsi="CorpoS"/>
                <w:sz w:val="22"/>
                <w:szCs w:val="22"/>
              </w:rPr>
            </w:pPr>
          </w:p>
        </w:tc>
        <w:tc>
          <w:tcPr>
            <w:tcW w:w="1276" w:type="dxa"/>
            <w:tcBorders>
              <w:top w:val="single" w:sz="4" w:space="0" w:color="auto"/>
              <w:left w:val="single" w:sz="18" w:space="0" w:color="auto"/>
              <w:bottom w:val="single" w:sz="4" w:space="0" w:color="auto"/>
            </w:tcBorders>
            <w:shd w:val="clear" w:color="auto" w:fill="auto"/>
          </w:tcPr>
          <w:p w14:paraId="1DDF2CF2" w14:textId="77777777" w:rsidR="006539EF" w:rsidRPr="00C5746C" w:rsidRDefault="006539EF" w:rsidP="000F38AA">
            <w:pPr>
              <w:jc w:val="right"/>
              <w:rPr>
                <w:rFonts w:ascii="CorpoS" w:hAnsi="CorpoS"/>
                <w:sz w:val="22"/>
                <w:szCs w:val="22"/>
              </w:rPr>
            </w:pPr>
          </w:p>
        </w:tc>
        <w:tc>
          <w:tcPr>
            <w:tcW w:w="1276" w:type="dxa"/>
            <w:tcBorders>
              <w:top w:val="single" w:sz="4" w:space="0" w:color="auto"/>
              <w:bottom w:val="single" w:sz="4" w:space="0" w:color="auto"/>
            </w:tcBorders>
            <w:shd w:val="clear" w:color="auto" w:fill="auto"/>
          </w:tcPr>
          <w:p w14:paraId="15CBFBDC" w14:textId="77777777" w:rsidR="006539EF" w:rsidRPr="00C5746C" w:rsidRDefault="006539EF" w:rsidP="000F38AA">
            <w:pPr>
              <w:jc w:val="right"/>
              <w:rPr>
                <w:rFonts w:ascii="CorpoS" w:hAnsi="CorpoS"/>
                <w:sz w:val="22"/>
                <w:szCs w:val="22"/>
              </w:rPr>
            </w:pPr>
          </w:p>
        </w:tc>
        <w:tc>
          <w:tcPr>
            <w:tcW w:w="1418" w:type="dxa"/>
            <w:tcBorders>
              <w:top w:val="single" w:sz="4" w:space="0" w:color="auto"/>
              <w:bottom w:val="single" w:sz="4" w:space="0" w:color="auto"/>
              <w:right w:val="single" w:sz="18" w:space="0" w:color="auto"/>
            </w:tcBorders>
            <w:shd w:val="clear" w:color="auto" w:fill="auto"/>
          </w:tcPr>
          <w:p w14:paraId="4D89E663" w14:textId="77777777" w:rsidR="006539EF" w:rsidRPr="00C5746C" w:rsidRDefault="006539EF" w:rsidP="000F38AA">
            <w:pPr>
              <w:ind w:right="33"/>
              <w:jc w:val="right"/>
              <w:rPr>
                <w:rFonts w:ascii="CorpoS" w:hAnsi="CorpoS"/>
                <w:sz w:val="22"/>
                <w:szCs w:val="22"/>
              </w:rPr>
            </w:pPr>
          </w:p>
        </w:tc>
      </w:tr>
      <w:tr w:rsidR="006539EF" w:rsidRPr="003C0155" w14:paraId="038BAE2D" w14:textId="77777777" w:rsidTr="000F38AA">
        <w:tc>
          <w:tcPr>
            <w:tcW w:w="3999" w:type="dxa"/>
            <w:tcBorders>
              <w:right w:val="single" w:sz="4" w:space="0" w:color="auto"/>
            </w:tcBorders>
            <w:shd w:val="clear" w:color="auto" w:fill="auto"/>
          </w:tcPr>
          <w:p w14:paraId="596A8377" w14:textId="77777777" w:rsidR="006539EF" w:rsidRPr="003C0155" w:rsidRDefault="006539EF" w:rsidP="000F38AA">
            <w:pPr>
              <w:ind w:firstLine="176"/>
              <w:rPr>
                <w:rFonts w:ascii="CorpoS" w:hAnsi="CorpoS"/>
                <w:sz w:val="22"/>
                <w:szCs w:val="22"/>
              </w:rPr>
            </w:pPr>
            <w:r>
              <w:rPr>
                <w:rFonts w:ascii="CorpoS" w:hAnsi="CorpoS"/>
                <w:sz w:val="22"/>
              </w:rPr>
              <w:t>Intangible assets</w:t>
            </w:r>
          </w:p>
        </w:tc>
        <w:tc>
          <w:tcPr>
            <w:tcW w:w="1104" w:type="dxa"/>
            <w:tcBorders>
              <w:left w:val="single" w:sz="4" w:space="0" w:color="auto"/>
              <w:right w:val="single" w:sz="4" w:space="0" w:color="auto"/>
            </w:tcBorders>
          </w:tcPr>
          <w:p w14:paraId="66425008" w14:textId="77777777" w:rsidR="006539EF" w:rsidRPr="00C5746C" w:rsidRDefault="006539EF" w:rsidP="000F38AA">
            <w:pPr>
              <w:jc w:val="right"/>
              <w:rPr>
                <w:rFonts w:ascii="CorpoS" w:hAnsi="CorpoS"/>
                <w:sz w:val="22"/>
                <w:szCs w:val="22"/>
              </w:rPr>
            </w:pPr>
          </w:p>
        </w:tc>
        <w:tc>
          <w:tcPr>
            <w:tcW w:w="1134" w:type="dxa"/>
            <w:tcBorders>
              <w:left w:val="single" w:sz="4" w:space="0" w:color="auto"/>
              <w:right w:val="single" w:sz="18" w:space="0" w:color="auto"/>
            </w:tcBorders>
          </w:tcPr>
          <w:p w14:paraId="19054103" w14:textId="77777777" w:rsidR="006539EF" w:rsidRPr="00C5746C" w:rsidRDefault="006539EF" w:rsidP="000F38AA">
            <w:pPr>
              <w:jc w:val="right"/>
              <w:rPr>
                <w:rFonts w:ascii="CorpoS" w:hAnsi="CorpoS"/>
                <w:sz w:val="22"/>
                <w:szCs w:val="22"/>
              </w:rPr>
            </w:pPr>
          </w:p>
        </w:tc>
        <w:tc>
          <w:tcPr>
            <w:tcW w:w="1276" w:type="dxa"/>
            <w:tcBorders>
              <w:top w:val="single" w:sz="4" w:space="0" w:color="auto"/>
              <w:left w:val="single" w:sz="18" w:space="0" w:color="auto"/>
              <w:bottom w:val="single" w:sz="4" w:space="0" w:color="auto"/>
            </w:tcBorders>
            <w:shd w:val="clear" w:color="auto" w:fill="auto"/>
            <w:vAlign w:val="center"/>
          </w:tcPr>
          <w:p w14:paraId="799BDE76"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1,128</w:t>
            </w:r>
          </w:p>
        </w:tc>
        <w:tc>
          <w:tcPr>
            <w:tcW w:w="1276" w:type="dxa"/>
            <w:tcBorders>
              <w:top w:val="single" w:sz="4" w:space="0" w:color="auto"/>
              <w:bottom w:val="single" w:sz="4" w:space="0" w:color="auto"/>
            </w:tcBorders>
            <w:shd w:val="clear" w:color="auto" w:fill="auto"/>
            <w:vAlign w:val="center"/>
          </w:tcPr>
          <w:p w14:paraId="6BB254EB"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1,151</w:t>
            </w:r>
          </w:p>
        </w:tc>
        <w:tc>
          <w:tcPr>
            <w:tcW w:w="1418" w:type="dxa"/>
            <w:tcBorders>
              <w:top w:val="single" w:sz="4" w:space="0" w:color="auto"/>
              <w:bottom w:val="single" w:sz="4" w:space="0" w:color="auto"/>
              <w:right w:val="single" w:sz="18" w:space="0" w:color="auto"/>
            </w:tcBorders>
            <w:shd w:val="clear" w:color="auto" w:fill="auto"/>
            <w:vAlign w:val="center"/>
          </w:tcPr>
          <w:p w14:paraId="3370A58C"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+ 2%</w:t>
            </w:r>
          </w:p>
        </w:tc>
      </w:tr>
      <w:tr w:rsidR="006539EF" w:rsidRPr="003C0155" w14:paraId="39AF883C" w14:textId="77777777" w:rsidTr="000F38AA">
        <w:tc>
          <w:tcPr>
            <w:tcW w:w="3999" w:type="dxa"/>
            <w:tcBorders>
              <w:right w:val="single" w:sz="4" w:space="0" w:color="auto"/>
            </w:tcBorders>
            <w:shd w:val="clear" w:color="auto" w:fill="auto"/>
          </w:tcPr>
          <w:p w14:paraId="20A59E4F" w14:textId="77777777" w:rsidR="006539EF" w:rsidRPr="003C0155" w:rsidRDefault="006539EF" w:rsidP="000F38AA">
            <w:pPr>
              <w:ind w:left="176"/>
              <w:rPr>
                <w:rFonts w:ascii="CorpoS" w:hAnsi="CorpoS"/>
                <w:sz w:val="22"/>
                <w:szCs w:val="22"/>
              </w:rPr>
            </w:pPr>
            <w:r>
              <w:rPr>
                <w:rFonts w:ascii="CorpoS" w:hAnsi="CorpoS"/>
                <w:sz w:val="22"/>
              </w:rPr>
              <w:t>Cash and cash equivalents</w:t>
            </w:r>
          </w:p>
        </w:tc>
        <w:tc>
          <w:tcPr>
            <w:tcW w:w="1104" w:type="dxa"/>
            <w:tcBorders>
              <w:left w:val="single" w:sz="4" w:space="0" w:color="auto"/>
              <w:right w:val="single" w:sz="4" w:space="0" w:color="auto"/>
            </w:tcBorders>
          </w:tcPr>
          <w:p w14:paraId="0CB70BC1" w14:textId="77777777" w:rsidR="006539EF" w:rsidRPr="00C5746C" w:rsidRDefault="006539EF" w:rsidP="000F38AA">
            <w:pPr>
              <w:jc w:val="right"/>
              <w:rPr>
                <w:rFonts w:ascii="CorpoS" w:hAnsi="CorpoS"/>
                <w:sz w:val="22"/>
                <w:szCs w:val="22"/>
              </w:rPr>
            </w:pPr>
          </w:p>
        </w:tc>
        <w:tc>
          <w:tcPr>
            <w:tcW w:w="1134" w:type="dxa"/>
            <w:tcBorders>
              <w:left w:val="single" w:sz="4" w:space="0" w:color="auto"/>
              <w:right w:val="single" w:sz="18" w:space="0" w:color="auto"/>
            </w:tcBorders>
          </w:tcPr>
          <w:p w14:paraId="654A906D" w14:textId="77777777" w:rsidR="006539EF" w:rsidRPr="00C5746C" w:rsidRDefault="006539EF" w:rsidP="000F38AA">
            <w:pPr>
              <w:jc w:val="right"/>
              <w:rPr>
                <w:rFonts w:ascii="CorpoS" w:hAnsi="CorpoS"/>
                <w:sz w:val="22"/>
                <w:szCs w:val="22"/>
              </w:rPr>
            </w:pPr>
          </w:p>
        </w:tc>
        <w:tc>
          <w:tcPr>
            <w:tcW w:w="1276" w:type="dxa"/>
            <w:tcBorders>
              <w:top w:val="single" w:sz="4" w:space="0" w:color="auto"/>
              <w:left w:val="single" w:sz="18" w:space="0" w:color="auto"/>
              <w:bottom w:val="single" w:sz="4" w:space="0" w:color="auto"/>
            </w:tcBorders>
            <w:shd w:val="clear" w:color="auto" w:fill="auto"/>
            <w:vAlign w:val="center"/>
          </w:tcPr>
          <w:p w14:paraId="789390F7"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722</w:t>
            </w:r>
          </w:p>
        </w:tc>
        <w:tc>
          <w:tcPr>
            <w:tcW w:w="1276" w:type="dxa"/>
            <w:tcBorders>
              <w:top w:val="single" w:sz="4" w:space="0" w:color="auto"/>
              <w:bottom w:val="single" w:sz="4" w:space="0" w:color="auto"/>
            </w:tcBorders>
            <w:shd w:val="clear" w:color="auto" w:fill="auto"/>
            <w:vAlign w:val="center"/>
          </w:tcPr>
          <w:p w14:paraId="502D5F19"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823</w:t>
            </w:r>
          </w:p>
        </w:tc>
        <w:tc>
          <w:tcPr>
            <w:tcW w:w="1418" w:type="dxa"/>
            <w:tcBorders>
              <w:top w:val="single" w:sz="4" w:space="0" w:color="auto"/>
              <w:bottom w:val="single" w:sz="4" w:space="0" w:color="auto"/>
              <w:right w:val="single" w:sz="18" w:space="0" w:color="auto"/>
            </w:tcBorders>
            <w:shd w:val="clear" w:color="auto" w:fill="auto"/>
            <w:vAlign w:val="center"/>
          </w:tcPr>
          <w:p w14:paraId="77A61639"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+ 14%</w:t>
            </w:r>
          </w:p>
        </w:tc>
      </w:tr>
      <w:tr w:rsidR="006539EF" w:rsidRPr="003C0155" w14:paraId="58B2BB85" w14:textId="77777777" w:rsidTr="000F38AA">
        <w:tc>
          <w:tcPr>
            <w:tcW w:w="3999" w:type="dxa"/>
            <w:tcBorders>
              <w:right w:val="single" w:sz="4" w:space="0" w:color="auto"/>
            </w:tcBorders>
            <w:shd w:val="clear" w:color="auto" w:fill="auto"/>
          </w:tcPr>
          <w:p w14:paraId="1E0A45A2" w14:textId="77777777" w:rsidR="006539EF" w:rsidRPr="003C0155" w:rsidRDefault="006539EF" w:rsidP="000F38AA">
            <w:pPr>
              <w:ind w:left="176"/>
              <w:rPr>
                <w:rFonts w:ascii="CorpoS" w:hAnsi="CorpoS"/>
                <w:sz w:val="22"/>
                <w:szCs w:val="22"/>
              </w:rPr>
            </w:pPr>
            <w:r>
              <w:rPr>
                <w:rFonts w:ascii="CorpoS" w:hAnsi="CorpoS"/>
                <w:sz w:val="22"/>
              </w:rPr>
              <w:t>Pension provisions</w:t>
            </w:r>
          </w:p>
        </w:tc>
        <w:tc>
          <w:tcPr>
            <w:tcW w:w="1104" w:type="dxa"/>
            <w:tcBorders>
              <w:left w:val="single" w:sz="4" w:space="0" w:color="auto"/>
              <w:right w:val="single" w:sz="4" w:space="0" w:color="auto"/>
            </w:tcBorders>
          </w:tcPr>
          <w:p w14:paraId="0B1E178B" w14:textId="77777777" w:rsidR="006539EF" w:rsidRPr="003C0155" w:rsidRDefault="006539EF" w:rsidP="000F38AA">
            <w:pPr>
              <w:jc w:val="right"/>
              <w:rPr>
                <w:rFonts w:ascii="CorpoS" w:hAnsi="CorpoS"/>
                <w:sz w:val="22"/>
                <w:szCs w:val="22"/>
                <w:lang w:val="de-DE"/>
              </w:rPr>
            </w:pPr>
          </w:p>
        </w:tc>
        <w:tc>
          <w:tcPr>
            <w:tcW w:w="1134" w:type="dxa"/>
            <w:tcBorders>
              <w:left w:val="single" w:sz="4" w:space="0" w:color="auto"/>
              <w:right w:val="single" w:sz="18" w:space="0" w:color="auto"/>
            </w:tcBorders>
          </w:tcPr>
          <w:p w14:paraId="1C79F21C" w14:textId="77777777" w:rsidR="006539EF" w:rsidRPr="003C0155" w:rsidRDefault="006539EF" w:rsidP="000F38AA">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D49E202"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948</w:t>
            </w:r>
          </w:p>
        </w:tc>
        <w:tc>
          <w:tcPr>
            <w:tcW w:w="1276" w:type="dxa"/>
            <w:tcBorders>
              <w:top w:val="single" w:sz="4" w:space="0" w:color="auto"/>
              <w:bottom w:val="single" w:sz="4" w:space="0" w:color="auto"/>
            </w:tcBorders>
            <w:shd w:val="clear" w:color="auto" w:fill="auto"/>
            <w:vAlign w:val="center"/>
          </w:tcPr>
          <w:p w14:paraId="6670254A"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707</w:t>
            </w:r>
          </w:p>
        </w:tc>
        <w:tc>
          <w:tcPr>
            <w:tcW w:w="1418" w:type="dxa"/>
            <w:tcBorders>
              <w:top w:val="single" w:sz="4" w:space="0" w:color="auto"/>
              <w:bottom w:val="single" w:sz="4" w:space="0" w:color="auto"/>
              <w:right w:val="single" w:sz="18" w:space="0" w:color="auto"/>
            </w:tcBorders>
            <w:shd w:val="clear" w:color="auto" w:fill="auto"/>
            <w:vAlign w:val="center"/>
          </w:tcPr>
          <w:p w14:paraId="77537B6B"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- 25%</w:t>
            </w:r>
          </w:p>
        </w:tc>
      </w:tr>
      <w:tr w:rsidR="006539EF" w:rsidRPr="003C0155" w14:paraId="571F0686" w14:textId="77777777" w:rsidTr="000F38AA">
        <w:tc>
          <w:tcPr>
            <w:tcW w:w="3999" w:type="dxa"/>
            <w:tcBorders>
              <w:right w:val="single" w:sz="4" w:space="0" w:color="auto"/>
            </w:tcBorders>
            <w:shd w:val="clear" w:color="auto" w:fill="auto"/>
          </w:tcPr>
          <w:p w14:paraId="5BD0BCB3" w14:textId="77777777" w:rsidR="006539EF" w:rsidRPr="003C0155" w:rsidRDefault="006539EF" w:rsidP="000F38AA">
            <w:pPr>
              <w:ind w:left="176"/>
              <w:rPr>
                <w:rFonts w:ascii="CorpoS" w:hAnsi="CorpoS"/>
                <w:sz w:val="22"/>
                <w:szCs w:val="22"/>
              </w:rPr>
            </w:pPr>
            <w:r>
              <w:rPr>
                <w:rFonts w:ascii="CorpoS" w:hAnsi="CorpoS"/>
                <w:sz w:val="22"/>
              </w:rPr>
              <w:t>Equity</w:t>
            </w:r>
          </w:p>
        </w:tc>
        <w:tc>
          <w:tcPr>
            <w:tcW w:w="1104" w:type="dxa"/>
            <w:tcBorders>
              <w:left w:val="single" w:sz="4" w:space="0" w:color="auto"/>
              <w:right w:val="single" w:sz="4" w:space="0" w:color="auto"/>
            </w:tcBorders>
          </w:tcPr>
          <w:p w14:paraId="71E401A1" w14:textId="77777777" w:rsidR="006539EF" w:rsidRPr="003C0155" w:rsidRDefault="006539EF" w:rsidP="000F38AA">
            <w:pPr>
              <w:jc w:val="right"/>
              <w:rPr>
                <w:rFonts w:ascii="CorpoS" w:hAnsi="CorpoS"/>
                <w:sz w:val="22"/>
                <w:szCs w:val="22"/>
                <w:lang w:val="de-DE"/>
              </w:rPr>
            </w:pPr>
          </w:p>
        </w:tc>
        <w:tc>
          <w:tcPr>
            <w:tcW w:w="1134" w:type="dxa"/>
            <w:tcBorders>
              <w:left w:val="single" w:sz="4" w:space="0" w:color="auto"/>
              <w:right w:val="single" w:sz="18" w:space="0" w:color="auto"/>
            </w:tcBorders>
          </w:tcPr>
          <w:p w14:paraId="531F7F30" w14:textId="77777777" w:rsidR="006539EF" w:rsidRPr="003C0155" w:rsidRDefault="006539EF" w:rsidP="000F38AA">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A5F3E75"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2,760</w:t>
            </w:r>
          </w:p>
        </w:tc>
        <w:tc>
          <w:tcPr>
            <w:tcW w:w="1276" w:type="dxa"/>
            <w:tcBorders>
              <w:top w:val="single" w:sz="4" w:space="0" w:color="auto"/>
              <w:bottom w:val="single" w:sz="4" w:space="0" w:color="auto"/>
            </w:tcBorders>
            <w:shd w:val="clear" w:color="auto" w:fill="auto"/>
            <w:vAlign w:val="center"/>
          </w:tcPr>
          <w:p w14:paraId="32EC0F88"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3,107</w:t>
            </w:r>
          </w:p>
        </w:tc>
        <w:tc>
          <w:tcPr>
            <w:tcW w:w="1418" w:type="dxa"/>
            <w:tcBorders>
              <w:top w:val="single" w:sz="4" w:space="0" w:color="auto"/>
              <w:bottom w:val="single" w:sz="4" w:space="0" w:color="auto"/>
              <w:right w:val="single" w:sz="18" w:space="0" w:color="auto"/>
            </w:tcBorders>
            <w:shd w:val="clear" w:color="auto" w:fill="auto"/>
            <w:vAlign w:val="center"/>
          </w:tcPr>
          <w:p w14:paraId="251CA628"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+ 13%</w:t>
            </w:r>
          </w:p>
        </w:tc>
      </w:tr>
      <w:tr w:rsidR="006539EF" w:rsidRPr="003C0155" w14:paraId="425C63A9" w14:textId="77777777" w:rsidTr="000F38AA">
        <w:tc>
          <w:tcPr>
            <w:tcW w:w="3999" w:type="dxa"/>
            <w:tcBorders>
              <w:right w:val="single" w:sz="4" w:space="0" w:color="auto"/>
            </w:tcBorders>
            <w:shd w:val="clear" w:color="auto" w:fill="auto"/>
          </w:tcPr>
          <w:p w14:paraId="5C4A3325" w14:textId="77777777" w:rsidR="006539EF" w:rsidRPr="003C0155" w:rsidRDefault="006539EF" w:rsidP="000F38AA">
            <w:pPr>
              <w:ind w:left="176"/>
              <w:rPr>
                <w:rFonts w:ascii="CorpoS" w:hAnsi="CorpoS"/>
                <w:sz w:val="22"/>
                <w:szCs w:val="22"/>
              </w:rPr>
            </w:pPr>
            <w:r>
              <w:rPr>
                <w:rFonts w:ascii="CorpoS" w:hAnsi="CorpoS"/>
                <w:sz w:val="22"/>
              </w:rPr>
              <w:t>Net financial debt</w:t>
            </w:r>
          </w:p>
        </w:tc>
        <w:tc>
          <w:tcPr>
            <w:tcW w:w="1104" w:type="dxa"/>
            <w:tcBorders>
              <w:left w:val="single" w:sz="4" w:space="0" w:color="auto"/>
              <w:right w:val="single" w:sz="4" w:space="0" w:color="auto"/>
            </w:tcBorders>
          </w:tcPr>
          <w:p w14:paraId="259904EF" w14:textId="77777777" w:rsidR="006539EF" w:rsidRPr="003C0155" w:rsidRDefault="006539EF" w:rsidP="000F38AA">
            <w:pPr>
              <w:jc w:val="right"/>
              <w:rPr>
                <w:rFonts w:ascii="CorpoS" w:hAnsi="CorpoS"/>
                <w:sz w:val="22"/>
                <w:szCs w:val="22"/>
                <w:lang w:val="de-DE"/>
              </w:rPr>
            </w:pPr>
          </w:p>
        </w:tc>
        <w:tc>
          <w:tcPr>
            <w:tcW w:w="1134" w:type="dxa"/>
            <w:tcBorders>
              <w:left w:val="single" w:sz="4" w:space="0" w:color="auto"/>
              <w:right w:val="single" w:sz="18" w:space="0" w:color="auto"/>
            </w:tcBorders>
          </w:tcPr>
          <w:p w14:paraId="7A5F0D47" w14:textId="77777777" w:rsidR="006539EF" w:rsidRPr="003C0155" w:rsidRDefault="006539EF" w:rsidP="000F38AA">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2B8D4F6F"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673</w:t>
            </w:r>
          </w:p>
        </w:tc>
        <w:tc>
          <w:tcPr>
            <w:tcW w:w="1276" w:type="dxa"/>
            <w:tcBorders>
              <w:top w:val="single" w:sz="4" w:space="0" w:color="auto"/>
              <w:bottom w:val="single" w:sz="4" w:space="0" w:color="auto"/>
            </w:tcBorders>
            <w:shd w:val="clear" w:color="auto" w:fill="auto"/>
            <w:vAlign w:val="center"/>
          </w:tcPr>
          <w:p w14:paraId="672D2BDD"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753</w:t>
            </w:r>
          </w:p>
        </w:tc>
        <w:tc>
          <w:tcPr>
            <w:tcW w:w="1418" w:type="dxa"/>
            <w:tcBorders>
              <w:top w:val="single" w:sz="4" w:space="0" w:color="auto"/>
              <w:bottom w:val="single" w:sz="4" w:space="0" w:color="auto"/>
              <w:right w:val="single" w:sz="18" w:space="0" w:color="auto"/>
            </w:tcBorders>
            <w:shd w:val="clear" w:color="auto" w:fill="auto"/>
            <w:vAlign w:val="center"/>
          </w:tcPr>
          <w:p w14:paraId="4AF8B59F"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+ 12%</w:t>
            </w:r>
          </w:p>
        </w:tc>
      </w:tr>
      <w:tr w:rsidR="006539EF" w:rsidRPr="003C0155" w14:paraId="0056FEA4" w14:textId="77777777" w:rsidTr="000F38AA">
        <w:tc>
          <w:tcPr>
            <w:tcW w:w="3999" w:type="dxa"/>
            <w:tcBorders>
              <w:right w:val="single" w:sz="4" w:space="0" w:color="auto"/>
            </w:tcBorders>
            <w:shd w:val="clear" w:color="auto" w:fill="auto"/>
          </w:tcPr>
          <w:p w14:paraId="6D682E7F" w14:textId="77777777" w:rsidR="006539EF" w:rsidRPr="003C0155" w:rsidRDefault="006539EF" w:rsidP="000F38AA">
            <w:pPr>
              <w:ind w:left="176"/>
              <w:rPr>
                <w:rFonts w:ascii="CorpoS" w:hAnsi="CorpoS"/>
                <w:sz w:val="22"/>
                <w:szCs w:val="22"/>
              </w:rPr>
            </w:pPr>
            <w:r>
              <w:rPr>
                <w:rFonts w:ascii="CorpoS" w:hAnsi="CorpoS"/>
                <w:sz w:val="22"/>
              </w:rPr>
              <w:t>Total assets and liabilities</w:t>
            </w:r>
          </w:p>
        </w:tc>
        <w:tc>
          <w:tcPr>
            <w:tcW w:w="1104" w:type="dxa"/>
            <w:tcBorders>
              <w:left w:val="single" w:sz="4" w:space="0" w:color="auto"/>
              <w:right w:val="single" w:sz="4" w:space="0" w:color="auto"/>
            </w:tcBorders>
          </w:tcPr>
          <w:p w14:paraId="50CCB1C0" w14:textId="77777777" w:rsidR="006539EF" w:rsidRPr="003C0155" w:rsidRDefault="006539EF" w:rsidP="000F38AA">
            <w:pPr>
              <w:jc w:val="right"/>
              <w:rPr>
                <w:rFonts w:ascii="CorpoS" w:hAnsi="CorpoS"/>
                <w:sz w:val="22"/>
                <w:szCs w:val="22"/>
                <w:lang w:val="de-DE"/>
              </w:rPr>
            </w:pPr>
          </w:p>
        </w:tc>
        <w:tc>
          <w:tcPr>
            <w:tcW w:w="1134" w:type="dxa"/>
            <w:tcBorders>
              <w:left w:val="single" w:sz="4" w:space="0" w:color="auto"/>
              <w:right w:val="single" w:sz="18" w:space="0" w:color="auto"/>
            </w:tcBorders>
          </w:tcPr>
          <w:p w14:paraId="57CBF714" w14:textId="77777777" w:rsidR="006539EF" w:rsidRPr="003C0155" w:rsidRDefault="006539EF" w:rsidP="000F38AA">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6D29C6C"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8,304</w:t>
            </w:r>
          </w:p>
        </w:tc>
        <w:tc>
          <w:tcPr>
            <w:tcW w:w="1276" w:type="dxa"/>
            <w:tcBorders>
              <w:top w:val="single" w:sz="4" w:space="0" w:color="auto"/>
              <w:bottom w:val="single" w:sz="4" w:space="0" w:color="auto"/>
            </w:tcBorders>
            <w:shd w:val="clear" w:color="auto" w:fill="auto"/>
            <w:vAlign w:val="center"/>
          </w:tcPr>
          <w:p w14:paraId="18C7B321"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9,230</w:t>
            </w:r>
          </w:p>
        </w:tc>
        <w:tc>
          <w:tcPr>
            <w:tcW w:w="1418" w:type="dxa"/>
            <w:tcBorders>
              <w:top w:val="single" w:sz="4" w:space="0" w:color="auto"/>
              <w:bottom w:val="single" w:sz="4" w:space="0" w:color="auto"/>
              <w:right w:val="single" w:sz="18" w:space="0" w:color="auto"/>
            </w:tcBorders>
            <w:shd w:val="clear" w:color="auto" w:fill="auto"/>
            <w:vAlign w:val="center"/>
          </w:tcPr>
          <w:p w14:paraId="402FAEF0"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+ 11%</w:t>
            </w:r>
          </w:p>
        </w:tc>
      </w:tr>
      <w:tr w:rsidR="006539EF" w:rsidRPr="003C0155" w14:paraId="03F741BE" w14:textId="77777777" w:rsidTr="000F38AA">
        <w:trPr>
          <w:trHeight w:val="50"/>
        </w:trPr>
        <w:tc>
          <w:tcPr>
            <w:tcW w:w="3999" w:type="dxa"/>
            <w:tcBorders>
              <w:right w:val="single" w:sz="4" w:space="0" w:color="auto"/>
            </w:tcBorders>
            <w:shd w:val="clear" w:color="auto" w:fill="auto"/>
          </w:tcPr>
          <w:p w14:paraId="247377B4" w14:textId="77777777" w:rsidR="006539EF" w:rsidRPr="003C0155" w:rsidRDefault="006539EF" w:rsidP="000F38AA">
            <w:pPr>
              <w:rPr>
                <w:rFonts w:ascii="CorpoS" w:hAnsi="CorpoS"/>
                <w:sz w:val="8"/>
                <w:szCs w:val="8"/>
                <w:lang w:val="de-DE"/>
              </w:rPr>
            </w:pPr>
          </w:p>
        </w:tc>
        <w:tc>
          <w:tcPr>
            <w:tcW w:w="1104" w:type="dxa"/>
            <w:tcBorders>
              <w:left w:val="single" w:sz="4" w:space="0" w:color="auto"/>
              <w:right w:val="single" w:sz="4" w:space="0" w:color="auto"/>
            </w:tcBorders>
          </w:tcPr>
          <w:p w14:paraId="7CC3E89D" w14:textId="77777777" w:rsidR="006539EF" w:rsidRPr="003C0155" w:rsidRDefault="006539EF" w:rsidP="000F38AA">
            <w:pPr>
              <w:jc w:val="right"/>
              <w:rPr>
                <w:rFonts w:ascii="CorpoS" w:hAnsi="CorpoS"/>
                <w:sz w:val="8"/>
                <w:szCs w:val="8"/>
                <w:lang w:val="de-DE"/>
              </w:rPr>
            </w:pPr>
          </w:p>
        </w:tc>
        <w:tc>
          <w:tcPr>
            <w:tcW w:w="1134" w:type="dxa"/>
            <w:tcBorders>
              <w:left w:val="single" w:sz="4" w:space="0" w:color="auto"/>
              <w:right w:val="single" w:sz="18" w:space="0" w:color="auto"/>
            </w:tcBorders>
          </w:tcPr>
          <w:p w14:paraId="02BFCE6B" w14:textId="77777777" w:rsidR="006539EF" w:rsidRPr="003C0155" w:rsidRDefault="006539EF" w:rsidP="000F38AA">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35E8A42" w14:textId="77777777" w:rsidR="006539EF" w:rsidRPr="003C0155" w:rsidRDefault="006539EF" w:rsidP="000F38AA">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14:paraId="2CEABFFA" w14:textId="77777777" w:rsidR="006539EF" w:rsidRPr="003C0155" w:rsidRDefault="006539EF" w:rsidP="000F38AA">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44D39490" w14:textId="77777777" w:rsidR="006539EF" w:rsidRPr="003C0155" w:rsidRDefault="006539EF" w:rsidP="000F38AA">
            <w:pPr>
              <w:ind w:firstLineChars="100" w:firstLine="80"/>
              <w:jc w:val="right"/>
              <w:rPr>
                <w:rFonts w:ascii="CorpoS" w:hAnsi="CorpoS" w:cs="Arial"/>
                <w:sz w:val="8"/>
                <w:szCs w:val="8"/>
              </w:rPr>
            </w:pPr>
            <w:r>
              <w:rPr>
                <w:rFonts w:ascii="CorpoS" w:hAnsi="CorpoS"/>
                <w:sz w:val="8"/>
              </w:rPr>
              <w:t xml:space="preserve">     </w:t>
            </w:r>
          </w:p>
        </w:tc>
      </w:tr>
      <w:tr w:rsidR="006539EF" w:rsidRPr="003C0155" w14:paraId="44EDD39C" w14:textId="77777777" w:rsidTr="000F38AA">
        <w:tc>
          <w:tcPr>
            <w:tcW w:w="3999" w:type="dxa"/>
            <w:tcBorders>
              <w:right w:val="single" w:sz="4" w:space="0" w:color="auto"/>
            </w:tcBorders>
            <w:shd w:val="clear" w:color="auto" w:fill="auto"/>
          </w:tcPr>
          <w:p w14:paraId="3FA1B8F1" w14:textId="77777777" w:rsidR="006539EF" w:rsidRPr="003C0155" w:rsidRDefault="006539EF" w:rsidP="000F38AA">
            <w:pPr>
              <w:rPr>
                <w:rFonts w:ascii="CorpoS" w:hAnsi="CorpoS"/>
                <w:b/>
                <w:sz w:val="22"/>
                <w:szCs w:val="22"/>
              </w:rPr>
            </w:pPr>
            <w:r>
              <w:rPr>
                <w:rFonts w:ascii="CorpoS" w:hAnsi="CorpoS"/>
                <w:b/>
                <w:sz w:val="22"/>
              </w:rPr>
              <w:t>Order backlog</w:t>
            </w:r>
          </w:p>
        </w:tc>
        <w:tc>
          <w:tcPr>
            <w:tcW w:w="1104" w:type="dxa"/>
            <w:tcBorders>
              <w:left w:val="single" w:sz="4" w:space="0" w:color="auto"/>
              <w:right w:val="single" w:sz="4" w:space="0" w:color="auto"/>
            </w:tcBorders>
          </w:tcPr>
          <w:p w14:paraId="3A40C1C1" w14:textId="77777777" w:rsidR="006539EF" w:rsidRPr="003C0155" w:rsidRDefault="006539EF" w:rsidP="000F38AA">
            <w:pPr>
              <w:jc w:val="right"/>
              <w:rPr>
                <w:rFonts w:ascii="CorpoS" w:hAnsi="CorpoS"/>
                <w:sz w:val="22"/>
                <w:szCs w:val="22"/>
                <w:lang w:val="de-DE"/>
              </w:rPr>
            </w:pPr>
          </w:p>
        </w:tc>
        <w:tc>
          <w:tcPr>
            <w:tcW w:w="1134" w:type="dxa"/>
            <w:tcBorders>
              <w:left w:val="single" w:sz="4" w:space="0" w:color="auto"/>
              <w:right w:val="single" w:sz="18" w:space="0" w:color="auto"/>
            </w:tcBorders>
          </w:tcPr>
          <w:p w14:paraId="6155D889" w14:textId="77777777" w:rsidR="006539EF" w:rsidRPr="003C0155" w:rsidRDefault="006539EF" w:rsidP="000F38AA">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560EE4A"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22,237</w:t>
            </w:r>
          </w:p>
        </w:tc>
        <w:tc>
          <w:tcPr>
            <w:tcW w:w="1276" w:type="dxa"/>
            <w:tcBorders>
              <w:top w:val="single" w:sz="4" w:space="0" w:color="auto"/>
              <w:bottom w:val="single" w:sz="4" w:space="0" w:color="auto"/>
            </w:tcBorders>
            <w:shd w:val="clear" w:color="auto" w:fill="auto"/>
            <w:vAlign w:val="center"/>
          </w:tcPr>
          <w:p w14:paraId="62A263A6"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22,273</w:t>
            </w:r>
          </w:p>
        </w:tc>
        <w:tc>
          <w:tcPr>
            <w:tcW w:w="1418" w:type="dxa"/>
            <w:tcBorders>
              <w:top w:val="single" w:sz="4" w:space="0" w:color="auto"/>
              <w:bottom w:val="single" w:sz="4" w:space="0" w:color="auto"/>
              <w:right w:val="single" w:sz="18" w:space="0" w:color="auto"/>
            </w:tcBorders>
            <w:shd w:val="clear" w:color="auto" w:fill="auto"/>
            <w:vAlign w:val="center"/>
          </w:tcPr>
          <w:p w14:paraId="0AD5BE2F"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+ 0%</w:t>
            </w:r>
          </w:p>
        </w:tc>
      </w:tr>
      <w:tr w:rsidR="006539EF" w:rsidRPr="003C0155" w14:paraId="3C759475" w14:textId="77777777" w:rsidTr="000F38AA">
        <w:trPr>
          <w:cantSplit/>
          <w:trHeight w:val="20"/>
        </w:trPr>
        <w:tc>
          <w:tcPr>
            <w:tcW w:w="3999" w:type="dxa"/>
            <w:tcBorders>
              <w:right w:val="single" w:sz="4" w:space="0" w:color="auto"/>
            </w:tcBorders>
            <w:shd w:val="clear" w:color="auto" w:fill="auto"/>
          </w:tcPr>
          <w:p w14:paraId="72DBECE6" w14:textId="77777777" w:rsidR="006539EF" w:rsidRPr="003C0155" w:rsidRDefault="006539EF" w:rsidP="000F38AA">
            <w:pPr>
              <w:rPr>
                <w:rFonts w:ascii="CorpoS" w:hAnsi="CorpoS"/>
                <w:sz w:val="8"/>
                <w:szCs w:val="8"/>
                <w:lang w:val="de-DE"/>
              </w:rPr>
            </w:pPr>
          </w:p>
        </w:tc>
        <w:tc>
          <w:tcPr>
            <w:tcW w:w="1104" w:type="dxa"/>
            <w:tcBorders>
              <w:left w:val="single" w:sz="4" w:space="0" w:color="auto"/>
              <w:right w:val="single" w:sz="4" w:space="0" w:color="auto"/>
            </w:tcBorders>
          </w:tcPr>
          <w:p w14:paraId="7A1C1C9A" w14:textId="77777777" w:rsidR="006539EF" w:rsidRPr="003C0155" w:rsidRDefault="006539EF" w:rsidP="000F38AA">
            <w:pPr>
              <w:jc w:val="right"/>
              <w:rPr>
                <w:rFonts w:ascii="CorpoS" w:hAnsi="CorpoS"/>
                <w:sz w:val="8"/>
                <w:szCs w:val="8"/>
                <w:lang w:val="de-DE"/>
              </w:rPr>
            </w:pPr>
          </w:p>
        </w:tc>
        <w:tc>
          <w:tcPr>
            <w:tcW w:w="1134" w:type="dxa"/>
            <w:tcBorders>
              <w:left w:val="single" w:sz="4" w:space="0" w:color="auto"/>
              <w:right w:val="single" w:sz="18" w:space="0" w:color="auto"/>
            </w:tcBorders>
          </w:tcPr>
          <w:p w14:paraId="23823343" w14:textId="77777777" w:rsidR="006539EF" w:rsidRPr="003C0155" w:rsidRDefault="006539EF" w:rsidP="000F38AA">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4F559CB" w14:textId="77777777" w:rsidR="006539EF" w:rsidRPr="003C0155" w:rsidRDefault="006539EF" w:rsidP="000F38AA">
            <w:pPr>
              <w:ind w:firstLineChars="100" w:firstLine="80"/>
              <w:jc w:val="right"/>
              <w:rPr>
                <w:rFonts w:ascii="CorpoS" w:hAnsi="CorpoS" w:cs="Arial"/>
                <w:sz w:val="8"/>
                <w:szCs w:val="8"/>
              </w:rPr>
            </w:pPr>
            <w:r>
              <w:rPr>
                <w:rFonts w:ascii="CorpoS" w:hAnsi="CorpoS"/>
                <w:sz w:val="8"/>
              </w:rPr>
              <w:t> </w:t>
            </w:r>
          </w:p>
        </w:tc>
        <w:tc>
          <w:tcPr>
            <w:tcW w:w="1276" w:type="dxa"/>
            <w:tcBorders>
              <w:top w:val="single" w:sz="4" w:space="0" w:color="auto"/>
              <w:bottom w:val="single" w:sz="4" w:space="0" w:color="auto"/>
            </w:tcBorders>
            <w:shd w:val="clear" w:color="auto" w:fill="auto"/>
            <w:vAlign w:val="center"/>
          </w:tcPr>
          <w:p w14:paraId="6382B362" w14:textId="77777777" w:rsidR="006539EF" w:rsidRPr="003C0155" w:rsidRDefault="006539EF" w:rsidP="000F38AA">
            <w:pPr>
              <w:ind w:firstLineChars="100" w:firstLine="80"/>
              <w:jc w:val="right"/>
              <w:rPr>
                <w:rFonts w:ascii="CorpoS" w:hAnsi="CorpoS" w:cs="Arial"/>
                <w:sz w:val="8"/>
                <w:szCs w:val="8"/>
              </w:rPr>
            </w:pPr>
            <w:r>
              <w:rPr>
                <w:rFonts w:ascii="CorpoS" w:hAnsi="CorpoS"/>
                <w:sz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2828B35C" w14:textId="77777777" w:rsidR="006539EF" w:rsidRPr="003C0155" w:rsidRDefault="006539EF" w:rsidP="000F38AA">
            <w:pPr>
              <w:ind w:firstLineChars="100" w:firstLine="80"/>
              <w:jc w:val="right"/>
              <w:rPr>
                <w:rFonts w:ascii="CorpoS" w:hAnsi="CorpoS" w:cs="Arial"/>
                <w:sz w:val="8"/>
                <w:szCs w:val="8"/>
              </w:rPr>
            </w:pPr>
            <w:r>
              <w:rPr>
                <w:rFonts w:ascii="CorpoS" w:hAnsi="CorpoS"/>
                <w:sz w:val="8"/>
              </w:rPr>
              <w:t xml:space="preserve">    </w:t>
            </w:r>
          </w:p>
        </w:tc>
      </w:tr>
      <w:tr w:rsidR="006539EF" w:rsidRPr="003C0155" w14:paraId="28D32127" w14:textId="77777777" w:rsidTr="000F38AA">
        <w:tc>
          <w:tcPr>
            <w:tcW w:w="3999" w:type="dxa"/>
            <w:tcBorders>
              <w:right w:val="single" w:sz="4" w:space="0" w:color="auto"/>
            </w:tcBorders>
            <w:shd w:val="clear" w:color="auto" w:fill="auto"/>
          </w:tcPr>
          <w:p w14:paraId="05CD23A6" w14:textId="77777777" w:rsidR="006539EF" w:rsidRPr="003C0155" w:rsidRDefault="006539EF" w:rsidP="000F38AA">
            <w:pPr>
              <w:rPr>
                <w:rFonts w:ascii="CorpoS" w:hAnsi="CorpoS"/>
                <w:b/>
                <w:sz w:val="22"/>
                <w:szCs w:val="22"/>
              </w:rPr>
            </w:pPr>
            <w:r>
              <w:rPr>
                <w:rFonts w:ascii="CorpoS" w:hAnsi="CorpoS"/>
                <w:b/>
                <w:sz w:val="22"/>
              </w:rPr>
              <w:t>Employees</w:t>
            </w:r>
          </w:p>
        </w:tc>
        <w:tc>
          <w:tcPr>
            <w:tcW w:w="1104" w:type="dxa"/>
            <w:tcBorders>
              <w:left w:val="single" w:sz="4" w:space="0" w:color="auto"/>
              <w:right w:val="single" w:sz="4" w:space="0" w:color="auto"/>
            </w:tcBorders>
          </w:tcPr>
          <w:p w14:paraId="29DD544C" w14:textId="77777777" w:rsidR="006539EF" w:rsidRPr="003C0155" w:rsidRDefault="006539EF" w:rsidP="000F38AA">
            <w:pPr>
              <w:jc w:val="right"/>
              <w:rPr>
                <w:rFonts w:ascii="CorpoS" w:hAnsi="CorpoS"/>
                <w:sz w:val="22"/>
                <w:szCs w:val="22"/>
                <w:lang w:val="de-DE"/>
              </w:rPr>
            </w:pPr>
          </w:p>
        </w:tc>
        <w:tc>
          <w:tcPr>
            <w:tcW w:w="1134" w:type="dxa"/>
            <w:tcBorders>
              <w:left w:val="single" w:sz="4" w:space="0" w:color="auto"/>
              <w:right w:val="single" w:sz="18" w:space="0" w:color="auto"/>
            </w:tcBorders>
          </w:tcPr>
          <w:p w14:paraId="2AF7BBE8" w14:textId="77777777" w:rsidR="006539EF" w:rsidRPr="003C0155" w:rsidRDefault="006539EF" w:rsidP="000F38AA">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7CF07404"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10,508</w:t>
            </w:r>
          </w:p>
        </w:tc>
        <w:tc>
          <w:tcPr>
            <w:tcW w:w="1276" w:type="dxa"/>
            <w:tcBorders>
              <w:top w:val="single" w:sz="4" w:space="0" w:color="auto"/>
              <w:bottom w:val="single" w:sz="18" w:space="0" w:color="auto"/>
            </w:tcBorders>
            <w:shd w:val="clear" w:color="auto" w:fill="auto"/>
            <w:vAlign w:val="center"/>
          </w:tcPr>
          <w:p w14:paraId="2F9FBB42"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11,273</w:t>
            </w:r>
          </w:p>
        </w:tc>
        <w:tc>
          <w:tcPr>
            <w:tcW w:w="1418" w:type="dxa"/>
            <w:tcBorders>
              <w:top w:val="single" w:sz="4" w:space="0" w:color="auto"/>
              <w:bottom w:val="single" w:sz="18" w:space="0" w:color="auto"/>
              <w:right w:val="single" w:sz="18" w:space="0" w:color="auto"/>
            </w:tcBorders>
            <w:shd w:val="clear" w:color="auto" w:fill="auto"/>
            <w:vAlign w:val="center"/>
          </w:tcPr>
          <w:p w14:paraId="1DDFABEB" w14:textId="77777777" w:rsidR="006539EF" w:rsidRDefault="006539EF" w:rsidP="000F38AA">
            <w:pPr>
              <w:ind w:firstLineChars="100" w:firstLine="220"/>
              <w:jc w:val="right"/>
              <w:rPr>
                <w:rFonts w:ascii="CorpoS" w:hAnsi="CorpoS" w:cs="Arial"/>
                <w:sz w:val="22"/>
                <w:szCs w:val="22"/>
              </w:rPr>
            </w:pPr>
            <w:r>
              <w:rPr>
                <w:rFonts w:ascii="CorpoS" w:hAnsi="CorpoS" w:cs="Arial"/>
                <w:sz w:val="22"/>
                <w:szCs w:val="22"/>
              </w:rPr>
              <w:t>+ 7%</w:t>
            </w:r>
          </w:p>
        </w:tc>
      </w:tr>
    </w:tbl>
    <w:p w14:paraId="46AB9349" w14:textId="77777777" w:rsidR="006539EF" w:rsidRDefault="006539EF" w:rsidP="006539EF">
      <w:pPr>
        <w:ind w:right="1984"/>
        <w:jc w:val="both"/>
        <w:rPr>
          <w:rFonts w:ascii="CorpoS" w:hAnsi="CorpoS"/>
          <w:b/>
          <w:sz w:val="22"/>
        </w:rPr>
      </w:pPr>
    </w:p>
    <w:p w14:paraId="3F3E2140" w14:textId="77777777" w:rsidR="006539EF" w:rsidRDefault="006539EF" w:rsidP="006539EF">
      <w:pPr>
        <w:ind w:right="1984"/>
        <w:jc w:val="both"/>
        <w:rPr>
          <w:rFonts w:ascii="CorpoS" w:hAnsi="CorpoS"/>
          <w:b/>
          <w:sz w:val="22"/>
          <w:szCs w:val="22"/>
        </w:rPr>
      </w:pPr>
      <w:r>
        <w:rPr>
          <w:rFonts w:ascii="CorpoS" w:hAnsi="CorpoS"/>
          <w:b/>
          <w:sz w:val="22"/>
        </w:rPr>
        <w:t>Outlook for 2023</w:t>
      </w:r>
    </w:p>
    <w:p w14:paraId="4D8E63E6" w14:textId="77777777" w:rsidR="006539EF" w:rsidRDefault="006539EF" w:rsidP="006539EF">
      <w:pPr>
        <w:ind w:right="1984"/>
        <w:jc w:val="both"/>
        <w:rPr>
          <w:rFonts w:ascii="CorpoS" w:hAnsi="CorpoS"/>
          <w:b/>
          <w:sz w:val="22"/>
          <w:szCs w:val="22"/>
          <w:lang w:val="de-DE"/>
        </w:rPr>
      </w:pPr>
    </w:p>
    <w:tbl>
      <w:tblPr>
        <w:tblStyle w:val="Tabellenraster"/>
        <w:tblW w:w="9067" w:type="dxa"/>
        <w:tblLook w:val="04A0" w:firstRow="1" w:lastRow="0" w:firstColumn="1" w:lastColumn="0" w:noHBand="0" w:noVBand="1"/>
      </w:tblPr>
      <w:tblGrid>
        <w:gridCol w:w="3823"/>
        <w:gridCol w:w="5244"/>
      </w:tblGrid>
      <w:tr w:rsidR="006539EF" w:rsidRPr="006868A4" w14:paraId="3061BE79" w14:textId="77777777" w:rsidTr="000F38AA">
        <w:tc>
          <w:tcPr>
            <w:tcW w:w="3823" w:type="dxa"/>
          </w:tcPr>
          <w:p w14:paraId="6A9B4B9D" w14:textId="77777777" w:rsidR="006539EF" w:rsidRPr="00B079EB" w:rsidRDefault="006539EF" w:rsidP="000F38AA">
            <w:pPr>
              <w:ind w:right="1984"/>
              <w:jc w:val="both"/>
              <w:rPr>
                <w:rFonts w:ascii="CorpoS" w:hAnsi="CorpoS"/>
                <w:b/>
                <w:sz w:val="22"/>
                <w:szCs w:val="22"/>
              </w:rPr>
            </w:pPr>
            <w:r>
              <w:rPr>
                <w:rFonts w:ascii="CorpoS" w:hAnsi="CorpoS"/>
                <w:b/>
                <w:sz w:val="22"/>
              </w:rPr>
              <w:t>Revenue</w:t>
            </w:r>
          </w:p>
        </w:tc>
        <w:tc>
          <w:tcPr>
            <w:tcW w:w="5244" w:type="dxa"/>
          </w:tcPr>
          <w:p w14:paraId="62B0B6CD" w14:textId="77777777" w:rsidR="006539EF" w:rsidRPr="00EB1DDB" w:rsidRDefault="006539EF" w:rsidP="000F38AA">
            <w:pPr>
              <w:ind w:right="25"/>
              <w:jc w:val="both"/>
              <w:rPr>
                <w:rFonts w:ascii="CorpoS" w:hAnsi="CorpoS"/>
                <w:sz w:val="22"/>
                <w:szCs w:val="22"/>
              </w:rPr>
            </w:pPr>
            <w:r w:rsidRPr="00EB1DDB">
              <w:rPr>
                <w:rFonts w:ascii="CorpoS" w:hAnsi="CorpoS"/>
                <w:sz w:val="22"/>
                <w:szCs w:val="22"/>
              </w:rPr>
              <w:t>Between €6.1 and €6.3 billion</w:t>
            </w:r>
          </w:p>
        </w:tc>
      </w:tr>
      <w:tr w:rsidR="006539EF" w:rsidRPr="006868A4" w14:paraId="1B1B637D" w14:textId="77777777" w:rsidTr="000F38AA">
        <w:tc>
          <w:tcPr>
            <w:tcW w:w="3823" w:type="dxa"/>
          </w:tcPr>
          <w:p w14:paraId="30D5064B" w14:textId="77777777" w:rsidR="006539EF" w:rsidRPr="00B079EB" w:rsidRDefault="006539EF" w:rsidP="000F38AA">
            <w:pPr>
              <w:ind w:right="30"/>
              <w:jc w:val="both"/>
              <w:rPr>
                <w:rFonts w:ascii="CorpoS" w:hAnsi="CorpoS"/>
                <w:i/>
                <w:sz w:val="22"/>
                <w:szCs w:val="22"/>
              </w:rPr>
            </w:pPr>
            <w:r>
              <w:rPr>
                <w:rFonts w:ascii="CorpoS" w:hAnsi="CorpoS"/>
                <w:i/>
                <w:sz w:val="22"/>
              </w:rPr>
              <w:t>thereof: organic revenue development</w:t>
            </w:r>
          </w:p>
        </w:tc>
        <w:tc>
          <w:tcPr>
            <w:tcW w:w="5244" w:type="dxa"/>
          </w:tcPr>
          <w:p w14:paraId="775F3905" w14:textId="77777777" w:rsidR="006539EF" w:rsidRPr="00EB1DDB" w:rsidRDefault="006539EF" w:rsidP="000F38AA">
            <w:pPr>
              <w:ind w:right="1984"/>
              <w:jc w:val="both"/>
              <w:rPr>
                <w:rFonts w:ascii="CorpoS" w:hAnsi="CorpoS"/>
                <w:i/>
                <w:sz w:val="22"/>
                <w:szCs w:val="22"/>
                <w:lang w:val="de-DE"/>
              </w:rPr>
            </w:pPr>
          </w:p>
        </w:tc>
      </w:tr>
      <w:tr w:rsidR="006539EF" w:rsidRPr="00830EF7" w14:paraId="6AC68724" w14:textId="77777777" w:rsidTr="000F38AA">
        <w:tc>
          <w:tcPr>
            <w:tcW w:w="3823" w:type="dxa"/>
          </w:tcPr>
          <w:p w14:paraId="04C470D4" w14:textId="77777777" w:rsidR="006539EF" w:rsidRPr="00B079EB" w:rsidRDefault="006539EF" w:rsidP="000F38AA">
            <w:pPr>
              <w:ind w:right="320"/>
              <w:jc w:val="both"/>
              <w:rPr>
                <w:rFonts w:ascii="CorpoS" w:hAnsi="CorpoS"/>
                <w:i/>
                <w:sz w:val="22"/>
                <w:szCs w:val="22"/>
              </w:rPr>
            </w:pPr>
            <w:r>
              <w:rPr>
                <w:rFonts w:ascii="CorpoS" w:hAnsi="CorpoS"/>
                <w:i/>
                <w:sz w:val="22"/>
              </w:rPr>
              <w:t xml:space="preserve">       Commercial series business</w:t>
            </w:r>
          </w:p>
        </w:tc>
        <w:tc>
          <w:tcPr>
            <w:tcW w:w="5244" w:type="dxa"/>
          </w:tcPr>
          <w:p w14:paraId="7F293440" w14:textId="77777777" w:rsidR="006539EF" w:rsidRPr="00EB1DDB" w:rsidRDefault="006539EF" w:rsidP="000F38AA">
            <w:pPr>
              <w:ind w:right="29"/>
              <w:jc w:val="both"/>
              <w:rPr>
                <w:rFonts w:ascii="CorpoS" w:hAnsi="CorpoS"/>
                <w:i/>
                <w:sz w:val="22"/>
                <w:szCs w:val="22"/>
              </w:rPr>
            </w:pPr>
            <w:r w:rsidRPr="00EB1DDB">
              <w:rPr>
                <w:rFonts w:ascii="CorpoS" w:hAnsi="CorpoS"/>
                <w:i/>
                <w:sz w:val="22"/>
                <w:szCs w:val="22"/>
              </w:rPr>
              <w:t>Increase of around 30%</w:t>
            </w:r>
          </w:p>
        </w:tc>
      </w:tr>
      <w:tr w:rsidR="006539EF" w:rsidRPr="00830EF7" w14:paraId="1DE66E43" w14:textId="77777777" w:rsidTr="000F38AA">
        <w:tc>
          <w:tcPr>
            <w:tcW w:w="3823" w:type="dxa"/>
          </w:tcPr>
          <w:p w14:paraId="5D3B4EB6" w14:textId="77777777" w:rsidR="006539EF" w:rsidRPr="00B079EB" w:rsidRDefault="006539EF" w:rsidP="000F38AA">
            <w:pPr>
              <w:ind w:right="34"/>
              <w:jc w:val="both"/>
              <w:rPr>
                <w:rFonts w:ascii="CorpoS" w:hAnsi="CorpoS"/>
                <w:i/>
                <w:sz w:val="22"/>
                <w:szCs w:val="22"/>
              </w:rPr>
            </w:pPr>
            <w:r>
              <w:rPr>
                <w:rFonts w:ascii="CorpoS" w:hAnsi="CorpoS"/>
                <w:i/>
                <w:sz w:val="22"/>
              </w:rPr>
              <w:t xml:space="preserve">       Spare parts business</w:t>
            </w:r>
          </w:p>
        </w:tc>
        <w:tc>
          <w:tcPr>
            <w:tcW w:w="5244" w:type="dxa"/>
          </w:tcPr>
          <w:p w14:paraId="474785D7" w14:textId="77777777" w:rsidR="006539EF" w:rsidRPr="00EB1DDB" w:rsidRDefault="006539EF" w:rsidP="000F38AA">
            <w:pPr>
              <w:jc w:val="both"/>
              <w:rPr>
                <w:rFonts w:ascii="CorpoS" w:hAnsi="CorpoS"/>
                <w:i/>
                <w:sz w:val="22"/>
                <w:szCs w:val="22"/>
              </w:rPr>
            </w:pPr>
            <w:r w:rsidRPr="00EB1DDB">
              <w:rPr>
                <w:rFonts w:ascii="CorpoS" w:hAnsi="CorpoS"/>
                <w:i/>
                <w:sz w:val="22"/>
                <w:szCs w:val="22"/>
              </w:rPr>
              <w:t>Increase in the high teens to low twenty-percent range</w:t>
            </w:r>
          </w:p>
        </w:tc>
      </w:tr>
      <w:tr w:rsidR="006539EF" w:rsidRPr="00830EF7" w14:paraId="407388F2" w14:textId="77777777" w:rsidTr="000F38AA">
        <w:tc>
          <w:tcPr>
            <w:tcW w:w="3823" w:type="dxa"/>
          </w:tcPr>
          <w:p w14:paraId="2C20BC0F" w14:textId="77777777" w:rsidR="006539EF" w:rsidRPr="00B079EB" w:rsidRDefault="006539EF" w:rsidP="000F38AA">
            <w:pPr>
              <w:tabs>
                <w:tab w:val="left" w:pos="2443"/>
              </w:tabs>
              <w:ind w:right="314"/>
              <w:jc w:val="both"/>
              <w:rPr>
                <w:rFonts w:ascii="CorpoS" w:hAnsi="CorpoS"/>
                <w:i/>
                <w:sz w:val="22"/>
                <w:szCs w:val="22"/>
              </w:rPr>
            </w:pPr>
            <w:r>
              <w:rPr>
                <w:rFonts w:ascii="CorpoS" w:hAnsi="CorpoS"/>
                <w:i/>
                <w:sz w:val="22"/>
              </w:rPr>
              <w:t xml:space="preserve">       Military business</w:t>
            </w:r>
          </w:p>
        </w:tc>
        <w:tc>
          <w:tcPr>
            <w:tcW w:w="5244" w:type="dxa"/>
          </w:tcPr>
          <w:p w14:paraId="7EDB5C5E" w14:textId="77777777" w:rsidR="006539EF" w:rsidRPr="00EB1DDB" w:rsidRDefault="006539EF" w:rsidP="000F38AA">
            <w:pPr>
              <w:ind w:right="452"/>
              <w:jc w:val="both"/>
              <w:rPr>
                <w:rFonts w:ascii="CorpoS" w:hAnsi="CorpoS"/>
                <w:i/>
                <w:sz w:val="22"/>
                <w:szCs w:val="22"/>
              </w:rPr>
            </w:pPr>
            <w:r w:rsidRPr="00EB1DDB">
              <w:rPr>
                <w:rFonts w:ascii="CorpoS" w:hAnsi="CorpoS"/>
                <w:i/>
                <w:sz w:val="22"/>
                <w:szCs w:val="22"/>
              </w:rPr>
              <w:t>Increase of around 10%</w:t>
            </w:r>
          </w:p>
        </w:tc>
      </w:tr>
      <w:tr w:rsidR="006539EF" w:rsidRPr="00830EF7" w14:paraId="0EF51318" w14:textId="77777777" w:rsidTr="000F38AA">
        <w:tc>
          <w:tcPr>
            <w:tcW w:w="3823" w:type="dxa"/>
          </w:tcPr>
          <w:p w14:paraId="2B597D10" w14:textId="77777777" w:rsidR="006539EF" w:rsidRPr="00B079EB" w:rsidRDefault="006539EF" w:rsidP="000F38AA">
            <w:pPr>
              <w:ind w:right="603"/>
              <w:jc w:val="both"/>
              <w:rPr>
                <w:rFonts w:ascii="CorpoS" w:hAnsi="CorpoS"/>
                <w:i/>
                <w:sz w:val="22"/>
                <w:szCs w:val="22"/>
              </w:rPr>
            </w:pPr>
            <w:r>
              <w:rPr>
                <w:rFonts w:ascii="CorpoS" w:hAnsi="CorpoS"/>
                <w:i/>
                <w:sz w:val="22"/>
              </w:rPr>
              <w:t xml:space="preserve">       Commercial maintenance</w:t>
            </w:r>
          </w:p>
        </w:tc>
        <w:tc>
          <w:tcPr>
            <w:tcW w:w="5244" w:type="dxa"/>
          </w:tcPr>
          <w:p w14:paraId="231F9DCA" w14:textId="77777777" w:rsidR="006539EF" w:rsidRPr="00EB1DDB" w:rsidRDefault="006539EF" w:rsidP="000F38AA">
            <w:pPr>
              <w:ind w:right="27"/>
              <w:jc w:val="both"/>
              <w:rPr>
                <w:rFonts w:ascii="CorpoS" w:hAnsi="CorpoS"/>
                <w:i/>
                <w:sz w:val="22"/>
                <w:szCs w:val="22"/>
              </w:rPr>
            </w:pPr>
            <w:r w:rsidRPr="00EB1DDB">
              <w:rPr>
                <w:rFonts w:ascii="CorpoS" w:hAnsi="CorpoS"/>
                <w:i/>
                <w:sz w:val="22"/>
                <w:szCs w:val="22"/>
              </w:rPr>
              <w:t>Increase in the high-teens percentage range</w:t>
            </w:r>
          </w:p>
        </w:tc>
      </w:tr>
      <w:tr w:rsidR="006539EF" w:rsidRPr="00830EF7" w14:paraId="594E339B" w14:textId="77777777" w:rsidTr="000F38AA">
        <w:tc>
          <w:tcPr>
            <w:tcW w:w="3823" w:type="dxa"/>
          </w:tcPr>
          <w:p w14:paraId="6AEA48D9" w14:textId="77777777" w:rsidR="006539EF" w:rsidRPr="00B079EB" w:rsidRDefault="006539EF" w:rsidP="000F38AA">
            <w:pPr>
              <w:ind w:right="887"/>
              <w:jc w:val="both"/>
              <w:rPr>
                <w:rFonts w:ascii="CorpoS" w:hAnsi="CorpoS"/>
                <w:b/>
                <w:sz w:val="22"/>
                <w:szCs w:val="22"/>
              </w:rPr>
            </w:pPr>
            <w:r>
              <w:rPr>
                <w:rFonts w:ascii="CorpoS" w:hAnsi="CorpoS"/>
                <w:b/>
                <w:sz w:val="22"/>
              </w:rPr>
              <w:t>Adjusted EBIT margin</w:t>
            </w:r>
          </w:p>
        </w:tc>
        <w:tc>
          <w:tcPr>
            <w:tcW w:w="5244" w:type="dxa"/>
          </w:tcPr>
          <w:p w14:paraId="38F99176" w14:textId="77777777" w:rsidR="006539EF" w:rsidRPr="00EB1DDB" w:rsidRDefault="006539EF" w:rsidP="000F38AA">
            <w:pPr>
              <w:jc w:val="both"/>
              <w:rPr>
                <w:rFonts w:ascii="CorpoS" w:hAnsi="CorpoS"/>
                <w:sz w:val="22"/>
                <w:szCs w:val="22"/>
              </w:rPr>
            </w:pPr>
            <w:r w:rsidRPr="00EB1DDB">
              <w:rPr>
                <w:rFonts w:ascii="CorpoS" w:hAnsi="CorpoS"/>
                <w:sz w:val="22"/>
                <w:szCs w:val="22"/>
              </w:rPr>
              <w:t>Stable</w:t>
            </w:r>
          </w:p>
        </w:tc>
      </w:tr>
    </w:tbl>
    <w:p w14:paraId="44013D2F" w14:textId="77777777" w:rsidR="006539EF" w:rsidRDefault="006539EF" w:rsidP="006539EF">
      <w:pPr>
        <w:ind w:right="1984"/>
        <w:jc w:val="both"/>
        <w:rPr>
          <w:rFonts w:ascii="CorpoS" w:hAnsi="CorpoS"/>
          <w:b/>
          <w:sz w:val="22"/>
          <w:szCs w:val="22"/>
          <w:lang w:val="de-DE"/>
        </w:rPr>
      </w:pPr>
    </w:p>
    <w:p w14:paraId="3D3AC40D" w14:textId="77777777" w:rsidR="006539EF" w:rsidRPr="00F8268F" w:rsidRDefault="006539EF" w:rsidP="006539EF">
      <w:pPr>
        <w:ind w:right="1984"/>
        <w:jc w:val="both"/>
        <w:rPr>
          <w:rFonts w:ascii="CorpoS" w:hAnsi="CorpoS"/>
          <w:b/>
          <w:sz w:val="22"/>
          <w:szCs w:val="22"/>
        </w:rPr>
      </w:pPr>
    </w:p>
    <w:p w14:paraId="127FEA76" w14:textId="77777777" w:rsidR="006539EF" w:rsidRPr="00F8268F" w:rsidRDefault="006539EF" w:rsidP="006539EF">
      <w:pPr>
        <w:ind w:right="1984"/>
        <w:jc w:val="both"/>
        <w:rPr>
          <w:rFonts w:ascii="CorpoS" w:hAnsi="CorpoS"/>
          <w:b/>
          <w:sz w:val="22"/>
          <w:szCs w:val="22"/>
        </w:rPr>
      </w:pPr>
    </w:p>
    <w:p w14:paraId="50526C23" w14:textId="77777777" w:rsidR="006539EF" w:rsidRDefault="006539EF" w:rsidP="006539EF">
      <w:pPr>
        <w:ind w:right="1984"/>
        <w:jc w:val="both"/>
        <w:rPr>
          <w:rFonts w:ascii="CorpoS" w:hAnsi="CorpoS"/>
          <w:b/>
          <w:sz w:val="20"/>
          <w:u w:val="single"/>
        </w:rPr>
      </w:pPr>
      <w:r>
        <w:rPr>
          <w:rFonts w:ascii="CorpoS" w:hAnsi="CorpoS"/>
          <w:b/>
          <w:sz w:val="20"/>
          <w:u w:val="single"/>
        </w:rPr>
        <w:t>About MTU Aero Engines</w:t>
      </w:r>
    </w:p>
    <w:p w14:paraId="050B4832" w14:textId="77777777" w:rsidR="006539EF" w:rsidRPr="007425D1" w:rsidRDefault="006539EF" w:rsidP="006539EF">
      <w:pPr>
        <w:ind w:right="424"/>
        <w:jc w:val="both"/>
        <w:rPr>
          <w:rFonts w:ascii="CorpoS" w:hAnsi="CorpoS"/>
          <w:sz w:val="20"/>
        </w:rPr>
      </w:pPr>
      <w:r>
        <w:rPr>
          <w:rFonts w:ascii="CorpoS" w:hAnsi="CorpoS"/>
          <w:sz w:val="20"/>
        </w:rPr>
        <w:t>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w:t>
      </w:r>
    </w:p>
    <w:p w14:paraId="1CDD5299" w14:textId="77777777" w:rsidR="006539EF" w:rsidRPr="00F8268F" w:rsidRDefault="006539EF" w:rsidP="006539EF">
      <w:pPr>
        <w:ind w:right="424"/>
        <w:jc w:val="both"/>
        <w:rPr>
          <w:rFonts w:ascii="CorpoS" w:hAnsi="CorpoS" w:cs="Arial"/>
          <w:sz w:val="20"/>
        </w:rPr>
      </w:pPr>
    </w:p>
    <w:p w14:paraId="71B68667" w14:textId="77777777" w:rsidR="006539EF" w:rsidRPr="00F8268F" w:rsidRDefault="006539EF" w:rsidP="006539EF">
      <w:pPr>
        <w:ind w:right="424"/>
        <w:jc w:val="both"/>
        <w:rPr>
          <w:rFonts w:ascii="CorpoS" w:hAnsi="CorpoS" w:cs="Arial"/>
          <w:sz w:val="20"/>
        </w:rPr>
      </w:pPr>
    </w:p>
    <w:p w14:paraId="024F20EC" w14:textId="77777777" w:rsidR="006539EF" w:rsidRPr="006166B4" w:rsidRDefault="006539EF" w:rsidP="006539EF">
      <w:pPr>
        <w:rPr>
          <w:rFonts w:ascii="CorpoS" w:hAnsi="CorpoS"/>
          <w:sz w:val="20"/>
          <w:u w:val="single"/>
        </w:rPr>
      </w:pPr>
      <w:r>
        <w:rPr>
          <w:rFonts w:ascii="CorpoS" w:hAnsi="CorpoS"/>
          <w:sz w:val="20"/>
          <w:u w:val="single"/>
        </w:rPr>
        <w:t>Your contacts:</w:t>
      </w:r>
    </w:p>
    <w:p w14:paraId="30AEA8D2" w14:textId="77777777" w:rsidR="006539EF" w:rsidRPr="006166B4" w:rsidRDefault="006539EF" w:rsidP="006539EF">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378F44C7" w14:textId="77777777" w:rsidR="006539EF" w:rsidRPr="006166B4" w:rsidRDefault="006539EF" w:rsidP="006539EF">
      <w:pPr>
        <w:rPr>
          <w:rFonts w:ascii="CorpoS" w:hAnsi="CorpoS"/>
          <w:sz w:val="20"/>
        </w:rPr>
      </w:pPr>
      <w:r>
        <w:rPr>
          <w:rFonts w:ascii="CorpoS" w:hAnsi="CorpoS"/>
          <w:sz w:val="20"/>
        </w:rPr>
        <w:t>Senior Vice President Corporate Communications</w:t>
      </w:r>
      <w:r>
        <w:rPr>
          <w:rFonts w:ascii="CorpoS" w:hAnsi="CorpoS"/>
          <w:sz w:val="20"/>
        </w:rPr>
        <w:tab/>
      </w:r>
      <w:r>
        <w:rPr>
          <w:rFonts w:ascii="CorpoS" w:hAnsi="CorpoS"/>
          <w:sz w:val="20"/>
        </w:rPr>
        <w:tab/>
        <w:t>Press Officer Finance</w:t>
      </w:r>
    </w:p>
    <w:p w14:paraId="0E4E5186" w14:textId="77777777" w:rsidR="006539EF" w:rsidRPr="00E942B3" w:rsidRDefault="006539EF" w:rsidP="006539EF">
      <w:pPr>
        <w:rPr>
          <w:rFonts w:ascii="CorpoS" w:hAnsi="CorpoS"/>
          <w:sz w:val="20"/>
        </w:rPr>
      </w:pPr>
      <w:r>
        <w:rPr>
          <w:rFonts w:ascii="CorpoS" w:hAnsi="CorpoS"/>
          <w:sz w:val="20"/>
        </w:rPr>
        <w:t xml:space="preserve">and Public Affairs </w:t>
      </w:r>
      <w:r>
        <w:rPr>
          <w:rFonts w:ascii="CorpoS" w:hAnsi="CorpoS"/>
          <w:sz w:val="20"/>
        </w:rPr>
        <w:tab/>
      </w:r>
    </w:p>
    <w:p w14:paraId="6D9A433D" w14:textId="77777777" w:rsidR="006539EF" w:rsidRPr="00E942B3" w:rsidRDefault="006539EF" w:rsidP="006539EF">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521278E4" w14:textId="77777777" w:rsidR="006539EF" w:rsidRPr="00F8268F" w:rsidRDefault="006539EF" w:rsidP="006539EF">
      <w:pPr>
        <w:rPr>
          <w:rFonts w:ascii="CorpoS" w:hAnsi="CorpoS"/>
          <w:sz w:val="20"/>
          <w:lang w:val="fr-FR"/>
        </w:rPr>
      </w:pPr>
      <w:r w:rsidRPr="00F8268F">
        <w:rPr>
          <w:rFonts w:ascii="CorpoS" w:hAnsi="CorpoS"/>
          <w:sz w:val="20"/>
          <w:lang w:val="fr-FR"/>
        </w:rPr>
        <w:t>Mobile: + 49 (0) 176-1000 6158</w:t>
      </w:r>
      <w:r w:rsidRPr="00F8268F">
        <w:rPr>
          <w:rFonts w:ascii="CorpoS" w:hAnsi="CorpoS"/>
          <w:sz w:val="20"/>
          <w:lang w:val="fr-FR"/>
        </w:rPr>
        <w:tab/>
      </w:r>
      <w:r w:rsidRPr="00F8268F">
        <w:rPr>
          <w:rFonts w:ascii="CorpoS" w:hAnsi="CorpoS"/>
          <w:sz w:val="20"/>
          <w:lang w:val="fr-FR"/>
        </w:rPr>
        <w:tab/>
      </w:r>
      <w:r w:rsidRPr="00F8268F">
        <w:rPr>
          <w:rFonts w:ascii="CorpoS" w:hAnsi="CorpoS"/>
          <w:sz w:val="20"/>
          <w:lang w:val="fr-FR"/>
        </w:rPr>
        <w:tab/>
      </w:r>
      <w:r w:rsidRPr="00F8268F">
        <w:rPr>
          <w:rFonts w:ascii="CorpoS" w:hAnsi="CorpoS"/>
          <w:sz w:val="20"/>
          <w:lang w:val="fr-FR"/>
        </w:rPr>
        <w:tab/>
        <w:t>Mobile: +49 (0) 176-1008 4162</w:t>
      </w:r>
    </w:p>
    <w:p w14:paraId="29B494E0" w14:textId="77777777" w:rsidR="006539EF" w:rsidRPr="00F8268F" w:rsidRDefault="006539EF" w:rsidP="006539EF">
      <w:pPr>
        <w:rPr>
          <w:rFonts w:ascii="CorpoS" w:hAnsi="CorpoS"/>
          <w:sz w:val="20"/>
          <w:lang w:val="fr-FR"/>
        </w:rPr>
      </w:pPr>
      <w:r w:rsidRPr="00F8268F">
        <w:rPr>
          <w:rFonts w:ascii="CorpoS" w:hAnsi="CorpoS"/>
          <w:sz w:val="20"/>
          <w:lang w:val="fr-FR"/>
        </w:rPr>
        <w:t xml:space="preserve">Email: Eckhard.Zanger@mtu.de  </w:t>
      </w:r>
      <w:r w:rsidRPr="00F8268F">
        <w:rPr>
          <w:rFonts w:ascii="CorpoS" w:hAnsi="CorpoS"/>
          <w:sz w:val="20"/>
          <w:lang w:val="fr-FR"/>
        </w:rPr>
        <w:tab/>
      </w:r>
      <w:r w:rsidRPr="00F8268F">
        <w:rPr>
          <w:rFonts w:ascii="CorpoS" w:hAnsi="CorpoS"/>
          <w:sz w:val="20"/>
          <w:lang w:val="fr-FR"/>
        </w:rPr>
        <w:tab/>
      </w:r>
      <w:r w:rsidRPr="00F8268F">
        <w:rPr>
          <w:rFonts w:ascii="CorpoS" w:hAnsi="CorpoS"/>
          <w:sz w:val="20"/>
          <w:lang w:val="fr-FR"/>
        </w:rPr>
        <w:tab/>
      </w:r>
      <w:r w:rsidRPr="00F8268F">
        <w:rPr>
          <w:rFonts w:ascii="CorpoS" w:hAnsi="CorpoS"/>
          <w:sz w:val="20"/>
          <w:lang w:val="fr-FR"/>
        </w:rPr>
        <w:tab/>
        <w:t>Email: Eva.Simon@mtu.de</w:t>
      </w:r>
    </w:p>
    <w:p w14:paraId="0FC02B3F" w14:textId="77777777" w:rsidR="006539EF" w:rsidRPr="00F8268F" w:rsidRDefault="006539EF" w:rsidP="006539EF">
      <w:pPr>
        <w:rPr>
          <w:rFonts w:ascii="CorpoS" w:hAnsi="CorpoS"/>
          <w:szCs w:val="24"/>
          <w:u w:val="single"/>
          <w:lang w:val="fr-FR"/>
        </w:rPr>
      </w:pPr>
    </w:p>
    <w:p w14:paraId="5A47C981" w14:textId="77777777" w:rsidR="006539EF" w:rsidRPr="006166B4" w:rsidRDefault="006539EF" w:rsidP="006539EF">
      <w:pPr>
        <w:pStyle w:val="MTUBodycopy"/>
        <w:tabs>
          <w:tab w:val="left" w:pos="8505"/>
        </w:tabs>
        <w:ind w:right="1984"/>
        <w:jc w:val="both"/>
        <w:rPr>
          <w:i/>
        </w:rPr>
      </w:pPr>
      <w:r>
        <w:rPr>
          <w:i/>
        </w:rPr>
        <w:t xml:space="preserve">All press releases and images are available at </w:t>
      </w:r>
      <w:hyperlink r:id="rId8" w:history="1">
        <w:r>
          <w:rPr>
            <w:rStyle w:val="Hyperlink"/>
            <w:i/>
            <w:color w:val="auto"/>
          </w:rPr>
          <w:t>http://www.mtu.de</w:t>
        </w:r>
      </w:hyperlink>
    </w:p>
    <w:p w14:paraId="0F0A4DDB" w14:textId="77777777" w:rsidR="006539EF" w:rsidRPr="00F8268F" w:rsidRDefault="006539EF" w:rsidP="006539EF">
      <w:pPr>
        <w:pStyle w:val="MTUBodycopy"/>
        <w:tabs>
          <w:tab w:val="left" w:pos="8505"/>
        </w:tabs>
        <w:ind w:right="1984"/>
        <w:jc w:val="both"/>
        <w:rPr>
          <w:i/>
        </w:rPr>
      </w:pPr>
    </w:p>
    <w:p w14:paraId="195984EE" w14:textId="77777777" w:rsidR="006539EF" w:rsidRPr="006166B4" w:rsidRDefault="006539EF" w:rsidP="006539EF">
      <w:pPr>
        <w:rPr>
          <w:rStyle w:val="h41"/>
          <w:rFonts w:ascii="CorpoS" w:hAnsi="CorpoS"/>
          <w:color w:val="auto"/>
          <w:sz w:val="16"/>
          <w:szCs w:val="16"/>
        </w:rPr>
      </w:pPr>
      <w:r>
        <w:rPr>
          <w:rStyle w:val="h41"/>
          <w:rFonts w:ascii="CorpoS" w:hAnsi="CorpoS"/>
          <w:color w:val="auto"/>
          <w:sz w:val="16"/>
        </w:rPr>
        <w:lastRenderedPageBreak/>
        <w:t>Cautionary note regarding forward-looking statements</w:t>
      </w:r>
    </w:p>
    <w:p w14:paraId="1A4D650C" w14:textId="77777777" w:rsidR="006539EF" w:rsidRPr="00F8268F" w:rsidRDefault="006539EF" w:rsidP="006539EF">
      <w:pPr>
        <w:rPr>
          <w:rFonts w:ascii="CorpoS" w:hAnsi="CorpoS"/>
          <w:sz w:val="16"/>
          <w:szCs w:val="16"/>
        </w:rPr>
      </w:pPr>
    </w:p>
    <w:p w14:paraId="262A34E2" w14:textId="77777777" w:rsidR="006539EF" w:rsidRPr="00C51A14" w:rsidRDefault="006539EF" w:rsidP="006539EF">
      <w:pPr>
        <w:ind w:right="283"/>
        <w:jc w:val="both"/>
        <w:rPr>
          <w:rFonts w:ascii="CorpoS" w:hAnsi="CorpoS"/>
          <w:b/>
          <w:sz w:val="22"/>
          <w:szCs w:val="22"/>
        </w:rPr>
      </w:pPr>
      <w:r>
        <w:rPr>
          <w:rFonts w:ascii="CorpoS" w:hAnsi="CorpoS"/>
          <w:sz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p w14:paraId="2B301013" w14:textId="77777777" w:rsidR="006539EF" w:rsidRPr="00C51A14" w:rsidRDefault="006539EF" w:rsidP="00B4335E">
      <w:pPr>
        <w:ind w:right="283"/>
        <w:jc w:val="both"/>
        <w:rPr>
          <w:rFonts w:ascii="CorpoS" w:hAnsi="CorpoS"/>
          <w:b/>
          <w:sz w:val="22"/>
          <w:szCs w:val="22"/>
        </w:rPr>
      </w:pPr>
    </w:p>
    <w:sectPr w:rsidR="006539EF"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06CB" w14:textId="77777777" w:rsidR="00EF769E" w:rsidRDefault="00EF769E">
      <w:r>
        <w:separator/>
      </w:r>
    </w:p>
  </w:endnote>
  <w:endnote w:type="continuationSeparator" w:id="0">
    <w:p w14:paraId="3F0EB6DC" w14:textId="77777777" w:rsidR="00EF769E" w:rsidRDefault="00E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FCC4" w14:textId="77777777" w:rsidR="00EF769E" w:rsidRDefault="00EF769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78E6" w14:textId="77777777" w:rsidR="00EF769E" w:rsidRDefault="00EF769E">
    <w:pPr>
      <w:pStyle w:val="Fuzeile"/>
      <w:spacing w:line="160" w:lineRule="exact"/>
      <w:rPr>
        <w:rFonts w:ascii="CorpoS" w:hAnsi="CorpoS"/>
        <w:color w:val="000000"/>
        <w:sz w:val="15"/>
      </w:rPr>
    </w:pPr>
    <w:r>
      <w:rPr>
        <w:rFonts w:ascii="CorpoS" w:hAnsi="CorpoS"/>
        <w:color w:val="000000"/>
        <w:sz w:val="15"/>
      </w:rPr>
      <w:t>MTU Aero Engines AG</w:t>
    </w:r>
  </w:p>
  <w:p w14:paraId="59D0BFA8" w14:textId="77777777" w:rsidR="00EF769E" w:rsidRDefault="00EF769E">
    <w:pPr>
      <w:pStyle w:val="Fuzeile"/>
      <w:spacing w:line="160" w:lineRule="exact"/>
      <w:rPr>
        <w:rFonts w:ascii="CorpoS" w:hAnsi="CorpoS"/>
        <w:color w:val="000000"/>
        <w:sz w:val="15"/>
      </w:rPr>
    </w:pPr>
    <w:r>
      <w:rPr>
        <w:rFonts w:ascii="CorpoS" w:hAnsi="CorpoS"/>
        <w:color w:val="000000"/>
        <w:sz w:val="15"/>
      </w:rPr>
      <w:t>Corporate Communications</w:t>
    </w:r>
  </w:p>
  <w:p w14:paraId="38558166" w14:textId="77777777" w:rsidR="00EF769E" w:rsidRPr="00150467" w:rsidRDefault="00EF769E">
    <w:pPr>
      <w:pStyle w:val="Fuzeile"/>
      <w:spacing w:line="160" w:lineRule="exact"/>
      <w:rPr>
        <w:rFonts w:ascii="CorpoS" w:hAnsi="CorpoS"/>
        <w:color w:val="000000"/>
        <w:sz w:val="15"/>
      </w:rPr>
    </w:pPr>
    <w:r>
      <w:rPr>
        <w:rFonts w:ascii="CorpoS" w:hAnsi="CorpoS"/>
        <w:color w:val="000000"/>
        <w:sz w:val="15"/>
      </w:rPr>
      <w:t>and Public Affairs</w:t>
    </w:r>
  </w:p>
  <w:p w14:paraId="4351F913" w14:textId="77777777" w:rsidR="00EF769E" w:rsidRPr="00150467" w:rsidRDefault="00EF769E">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14:paraId="3ACD31A2" w14:textId="77777777" w:rsidR="00EF769E" w:rsidRDefault="00EF769E">
    <w:pPr>
      <w:pStyle w:val="Fuzeile"/>
      <w:spacing w:line="160" w:lineRule="exact"/>
      <w:rPr>
        <w:rFonts w:ascii="CorpoS" w:hAnsi="CorpoS"/>
        <w:color w:val="000000"/>
        <w:sz w:val="15"/>
      </w:rPr>
    </w:pPr>
    <w:r>
      <w:rPr>
        <w:rFonts w:ascii="CorpoS" w:hAnsi="CorpoS"/>
        <w:color w:val="000000"/>
        <w:sz w:val="15"/>
      </w:rPr>
      <w:t>80995 Munich • Germany</w:t>
    </w:r>
  </w:p>
  <w:p w14:paraId="6CF5E49F" w14:textId="77777777" w:rsidR="00EF769E" w:rsidRDefault="00EF769E">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Phone</w:t>
    </w:r>
    <w:r>
      <w:rPr>
        <w:rFonts w:ascii="CorpoS" w:hAnsi="CorpoS"/>
        <w:color w:val="000000"/>
        <w:sz w:val="15"/>
      </w:rPr>
      <w:tab/>
      <w:t>+49 (0)89 14 89-26 98</w:t>
    </w:r>
  </w:p>
  <w:p w14:paraId="3050A09F" w14:textId="77777777" w:rsidR="00EF769E" w:rsidRDefault="00EF769E">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14:paraId="202ECD27" w14:textId="77777777" w:rsidR="00EF769E" w:rsidRDefault="00EF769E">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3C01" w14:textId="77777777" w:rsidR="00EF769E" w:rsidRDefault="00EF769E">
      <w:r>
        <w:separator/>
      </w:r>
    </w:p>
  </w:footnote>
  <w:footnote w:type="continuationSeparator" w:id="0">
    <w:p w14:paraId="3939D9BA" w14:textId="77777777" w:rsidR="00EF769E" w:rsidRDefault="00EF769E">
      <w:r>
        <w:continuationSeparator/>
      </w:r>
    </w:p>
  </w:footnote>
  <w:footnote w:id="1">
    <w:p w14:paraId="6CA94A8C" w14:textId="77777777" w:rsidR="00EF769E" w:rsidRDefault="00EF769E" w:rsidP="00AA674D">
      <w:pPr>
        <w:pStyle w:val="Funotentext"/>
        <w:rPr>
          <w:rFonts w:ascii="CorpoS" w:hAnsi="CorpoS"/>
          <w:b/>
          <w:sz w:val="16"/>
          <w:szCs w:val="16"/>
        </w:rPr>
      </w:pPr>
      <w:r>
        <w:rPr>
          <w:rStyle w:val="Funotenzeichen"/>
          <w:rFonts w:ascii="CorpoS" w:hAnsi="CorpoS"/>
          <w:b/>
          <w:sz w:val="16"/>
          <w:szCs w:val="16"/>
        </w:rPr>
        <w:footnoteRef/>
      </w:r>
      <w:r>
        <w:t xml:space="preserve"> </w:t>
      </w:r>
      <w:r>
        <w:rPr>
          <w:b/>
          <w:bCs/>
          <w:sz w:val="16"/>
        </w:rPr>
        <w:t>Adjusted EBIT = adjusted earnings before interest and taxes</w:t>
      </w:r>
    </w:p>
  </w:footnote>
  <w:footnote w:id="2">
    <w:p w14:paraId="359DE00F" w14:textId="77777777" w:rsidR="00EF769E" w:rsidRPr="00135B9B" w:rsidRDefault="00EF769E" w:rsidP="009D65F9">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rPr>
        <w:t xml:space="preserve"> Adjusted net income = adjusted income after income taxes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3590" w14:textId="77777777" w:rsidR="00EF769E" w:rsidRDefault="00EF769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1DBAE65" wp14:editId="03BE135D">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CDC5" w14:textId="77777777" w:rsidR="00EF769E" w:rsidRPr="00A775D8" w:rsidRDefault="00EF769E"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2DF992E1" wp14:editId="5A848F23">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ADF87" w14:textId="77777777" w:rsidR="00EF769E" w:rsidRPr="00507889" w:rsidRDefault="00EF769E"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2A7423E8" wp14:editId="44924E3A">
              <wp:simplePos x="0" y="0"/>
              <wp:positionH relativeFrom="column">
                <wp:posOffset>2621915</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59EE" w14:textId="77777777" w:rsidR="00EF769E" w:rsidRPr="00694A29" w:rsidRDefault="00EF769E" w:rsidP="006C5496">
                          <w:pPr>
                            <w:tabs>
                              <w:tab w:val="right" w:pos="2268"/>
                            </w:tabs>
                            <w:jc w:val="right"/>
                            <w:rPr>
                              <w:rFonts w:ascii="CorpoSLig" w:hAnsi="CorpoSLig"/>
                              <w:b/>
                              <w:color w:val="FF0000"/>
                              <w:sz w:val="32"/>
                              <w:szCs w:val="32"/>
                            </w:rPr>
                          </w:pPr>
                          <w:r>
                            <w:rPr>
                              <w:rFonts w:ascii="CorpoSLig" w:hAnsi="CorpoSLig"/>
                              <w:b/>
                              <w:sz w:val="32"/>
                            </w:rPr>
                            <w:tab/>
                            <w:t xml:space="preserve">                        Press Release</w:t>
                          </w:r>
                        </w:p>
                        <w:p w14:paraId="1D59FEEB" w14:textId="77777777" w:rsidR="00EF769E" w:rsidRPr="00354BD1" w:rsidRDefault="00EF769E"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423E8" id="_x0000_t202" coordsize="21600,21600" o:spt="202" path="m,l,21600r21600,l21600,xe">
              <v:stroke joinstyle="miter"/>
              <v:path gradientshapeok="t" o:connecttype="rect"/>
            </v:shapetype>
            <v:shape id="Text Box 6" o:spid="_x0000_s1026" type="#_x0000_t202" style="position:absolute;margin-left:206.4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zN8c8N8AAAAKAQAA&#10;DwAAAAAAAAAAAAAAAAAJBQAAZHJzL2Rvd25yZXYueG1sUEsFBgAAAAAEAAQA8wAAABUGAAAAAA==&#10;" filled="f" stroked="f">
              <v:textbox inset="0,0,0,0">
                <w:txbxContent>
                  <w:p w14:paraId="74EF59EE" w14:textId="77777777" w:rsidR="005B384E" w:rsidRPr="00694A29" w:rsidRDefault="005B384E" w:rsidP="006C5496">
                    <w:pPr>
                      <w:tabs>
                        <w:tab w:val="right" w:pos="2268"/>
                      </w:tabs>
                      <w:jc w:val="right"/>
                      <w:rPr>
                        <w:b/>
                        <w:color w:val="FF0000"/>
                        <w:sz w:val="32"/>
                        <w:szCs w:val="32"/>
                        <w:rFonts w:ascii="CorpoSLig" w:hAnsi="CorpoSLig"/>
                      </w:rPr>
                    </w:pPr>
                    <w:r>
                      <w:rPr>
                        <w:b/>
                        <w:sz w:val="32"/>
                        <w:rFonts w:ascii="CorpoSLig" w:hAnsi="CorpoSLig"/>
                      </w:rPr>
                      <w:tab/>
                    </w:r>
                    <w:r>
                      <w:rPr>
                        <w:b/>
                        <w:sz w:val="32"/>
                        <w:rFonts w:ascii="CorpoSLig" w:hAnsi="CorpoSLig"/>
                      </w:rPr>
                      <w:t xml:space="preserve">                        </w:t>
                    </w:r>
                    <w:r>
                      <w:rPr>
                        <w:b/>
                        <w:sz w:val="32"/>
                        <w:rFonts w:ascii="CorpoSLig" w:hAnsi="CorpoSLig"/>
                      </w:rPr>
                      <w:t xml:space="preserve">Press Release</w:t>
                    </w:r>
                  </w:p>
                  <w:p w14:paraId="1D59FEEB" w14:textId="77777777" w:rsidR="005B384E" w:rsidRPr="00354BD1" w:rsidRDefault="005B384E"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BCFE3D5" wp14:editId="3164374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73911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B8DF32B" w14:textId="77777777" w:rsidR="00EF769E" w:rsidRPr="00507889" w:rsidRDefault="00EF769E">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056"/>
    <w:rsid w:val="00001A69"/>
    <w:rsid w:val="000035F3"/>
    <w:rsid w:val="00004957"/>
    <w:rsid w:val="000075A5"/>
    <w:rsid w:val="00007718"/>
    <w:rsid w:val="00010145"/>
    <w:rsid w:val="00010BAE"/>
    <w:rsid w:val="00014216"/>
    <w:rsid w:val="00014295"/>
    <w:rsid w:val="00015DC0"/>
    <w:rsid w:val="0001625B"/>
    <w:rsid w:val="000163FF"/>
    <w:rsid w:val="000165E8"/>
    <w:rsid w:val="00017987"/>
    <w:rsid w:val="0002022E"/>
    <w:rsid w:val="00020CA2"/>
    <w:rsid w:val="00022231"/>
    <w:rsid w:val="00025AFC"/>
    <w:rsid w:val="00032DD5"/>
    <w:rsid w:val="00034C1E"/>
    <w:rsid w:val="000371A1"/>
    <w:rsid w:val="00037ADD"/>
    <w:rsid w:val="0004012A"/>
    <w:rsid w:val="00042608"/>
    <w:rsid w:val="0004510F"/>
    <w:rsid w:val="000468B9"/>
    <w:rsid w:val="00046D7A"/>
    <w:rsid w:val="00047D05"/>
    <w:rsid w:val="00050992"/>
    <w:rsid w:val="00051E60"/>
    <w:rsid w:val="00053AE0"/>
    <w:rsid w:val="00053D85"/>
    <w:rsid w:val="0005588E"/>
    <w:rsid w:val="00056B89"/>
    <w:rsid w:val="00063075"/>
    <w:rsid w:val="000634D7"/>
    <w:rsid w:val="00065075"/>
    <w:rsid w:val="0006552A"/>
    <w:rsid w:val="000703BF"/>
    <w:rsid w:val="000706B8"/>
    <w:rsid w:val="00072045"/>
    <w:rsid w:val="00073698"/>
    <w:rsid w:val="00073BEA"/>
    <w:rsid w:val="00074142"/>
    <w:rsid w:val="00074F55"/>
    <w:rsid w:val="0007603C"/>
    <w:rsid w:val="00077401"/>
    <w:rsid w:val="00083A52"/>
    <w:rsid w:val="00084883"/>
    <w:rsid w:val="000860C0"/>
    <w:rsid w:val="00087202"/>
    <w:rsid w:val="0008737B"/>
    <w:rsid w:val="000939E0"/>
    <w:rsid w:val="00094DD7"/>
    <w:rsid w:val="00095C96"/>
    <w:rsid w:val="000971DD"/>
    <w:rsid w:val="000A1616"/>
    <w:rsid w:val="000A18A9"/>
    <w:rsid w:val="000A3A05"/>
    <w:rsid w:val="000A6390"/>
    <w:rsid w:val="000A65E0"/>
    <w:rsid w:val="000B2DE3"/>
    <w:rsid w:val="000B4AA0"/>
    <w:rsid w:val="000B67F6"/>
    <w:rsid w:val="000C09A7"/>
    <w:rsid w:val="000C1A76"/>
    <w:rsid w:val="000C58DC"/>
    <w:rsid w:val="000C7B00"/>
    <w:rsid w:val="000D1B66"/>
    <w:rsid w:val="000D2837"/>
    <w:rsid w:val="000D3F29"/>
    <w:rsid w:val="000D472F"/>
    <w:rsid w:val="000D78F5"/>
    <w:rsid w:val="000E18AB"/>
    <w:rsid w:val="000E1C17"/>
    <w:rsid w:val="000E2052"/>
    <w:rsid w:val="000E2E12"/>
    <w:rsid w:val="000E3C0D"/>
    <w:rsid w:val="000E5C57"/>
    <w:rsid w:val="000E76D2"/>
    <w:rsid w:val="000E7DEA"/>
    <w:rsid w:val="000F005C"/>
    <w:rsid w:val="000F0BAD"/>
    <w:rsid w:val="000F1C43"/>
    <w:rsid w:val="000F2FF0"/>
    <w:rsid w:val="000F3103"/>
    <w:rsid w:val="000F74AB"/>
    <w:rsid w:val="0010004F"/>
    <w:rsid w:val="00100FBE"/>
    <w:rsid w:val="00101DCF"/>
    <w:rsid w:val="001020B6"/>
    <w:rsid w:val="001025B3"/>
    <w:rsid w:val="001048D3"/>
    <w:rsid w:val="00105396"/>
    <w:rsid w:val="001060D0"/>
    <w:rsid w:val="00106974"/>
    <w:rsid w:val="00107198"/>
    <w:rsid w:val="00107445"/>
    <w:rsid w:val="00107712"/>
    <w:rsid w:val="0011204E"/>
    <w:rsid w:val="00112495"/>
    <w:rsid w:val="00112591"/>
    <w:rsid w:val="00113459"/>
    <w:rsid w:val="00113504"/>
    <w:rsid w:val="00113984"/>
    <w:rsid w:val="00115186"/>
    <w:rsid w:val="001165C6"/>
    <w:rsid w:val="0011730A"/>
    <w:rsid w:val="00117AFF"/>
    <w:rsid w:val="001235C4"/>
    <w:rsid w:val="00123CCA"/>
    <w:rsid w:val="00123D36"/>
    <w:rsid w:val="00126B24"/>
    <w:rsid w:val="001312D6"/>
    <w:rsid w:val="00132F2F"/>
    <w:rsid w:val="001403F4"/>
    <w:rsid w:val="00141BAC"/>
    <w:rsid w:val="00143677"/>
    <w:rsid w:val="00144D88"/>
    <w:rsid w:val="0014585E"/>
    <w:rsid w:val="00145A04"/>
    <w:rsid w:val="00146764"/>
    <w:rsid w:val="00150467"/>
    <w:rsid w:val="00151E2A"/>
    <w:rsid w:val="00153E54"/>
    <w:rsid w:val="0016000F"/>
    <w:rsid w:val="001606AF"/>
    <w:rsid w:val="00161C8C"/>
    <w:rsid w:val="00161E32"/>
    <w:rsid w:val="001622D3"/>
    <w:rsid w:val="00162CBB"/>
    <w:rsid w:val="00163004"/>
    <w:rsid w:val="00163313"/>
    <w:rsid w:val="001672AE"/>
    <w:rsid w:val="001677E9"/>
    <w:rsid w:val="00170367"/>
    <w:rsid w:val="001708E8"/>
    <w:rsid w:val="001721F1"/>
    <w:rsid w:val="00172758"/>
    <w:rsid w:val="00172C9C"/>
    <w:rsid w:val="001774EE"/>
    <w:rsid w:val="00181D71"/>
    <w:rsid w:val="00183774"/>
    <w:rsid w:val="001855C5"/>
    <w:rsid w:val="00185930"/>
    <w:rsid w:val="00186D40"/>
    <w:rsid w:val="00190369"/>
    <w:rsid w:val="00194860"/>
    <w:rsid w:val="00197CF5"/>
    <w:rsid w:val="001A47CB"/>
    <w:rsid w:val="001A5750"/>
    <w:rsid w:val="001A6F8E"/>
    <w:rsid w:val="001A76F2"/>
    <w:rsid w:val="001B176F"/>
    <w:rsid w:val="001B1AE3"/>
    <w:rsid w:val="001B434D"/>
    <w:rsid w:val="001B6BEA"/>
    <w:rsid w:val="001C403E"/>
    <w:rsid w:val="001C4716"/>
    <w:rsid w:val="001C53D3"/>
    <w:rsid w:val="001C5559"/>
    <w:rsid w:val="001C5F28"/>
    <w:rsid w:val="001C651B"/>
    <w:rsid w:val="001C7658"/>
    <w:rsid w:val="001D0043"/>
    <w:rsid w:val="001D238A"/>
    <w:rsid w:val="001D4D29"/>
    <w:rsid w:val="001D5D33"/>
    <w:rsid w:val="001D6CD3"/>
    <w:rsid w:val="001E0F56"/>
    <w:rsid w:val="001E5591"/>
    <w:rsid w:val="001E56B3"/>
    <w:rsid w:val="001E5784"/>
    <w:rsid w:val="001E71BD"/>
    <w:rsid w:val="001F1D92"/>
    <w:rsid w:val="001F4294"/>
    <w:rsid w:val="00200FF1"/>
    <w:rsid w:val="002023C7"/>
    <w:rsid w:val="002037D9"/>
    <w:rsid w:val="00204EE6"/>
    <w:rsid w:val="0021191F"/>
    <w:rsid w:val="00211E8C"/>
    <w:rsid w:val="0021633B"/>
    <w:rsid w:val="002174F8"/>
    <w:rsid w:val="00220CEF"/>
    <w:rsid w:val="00221279"/>
    <w:rsid w:val="00221F25"/>
    <w:rsid w:val="00222DEF"/>
    <w:rsid w:val="0022336E"/>
    <w:rsid w:val="00226271"/>
    <w:rsid w:val="0023324C"/>
    <w:rsid w:val="002335C6"/>
    <w:rsid w:val="00236E3A"/>
    <w:rsid w:val="00237253"/>
    <w:rsid w:val="002437FE"/>
    <w:rsid w:val="00245B50"/>
    <w:rsid w:val="00252060"/>
    <w:rsid w:val="00254406"/>
    <w:rsid w:val="00254807"/>
    <w:rsid w:val="00254EE7"/>
    <w:rsid w:val="00256BAD"/>
    <w:rsid w:val="00256E41"/>
    <w:rsid w:val="00261A60"/>
    <w:rsid w:val="002654C2"/>
    <w:rsid w:val="00266762"/>
    <w:rsid w:val="00267121"/>
    <w:rsid w:val="0026727F"/>
    <w:rsid w:val="00270DD3"/>
    <w:rsid w:val="00270EB5"/>
    <w:rsid w:val="002716B2"/>
    <w:rsid w:val="002741C5"/>
    <w:rsid w:val="002756EB"/>
    <w:rsid w:val="00280197"/>
    <w:rsid w:val="00280628"/>
    <w:rsid w:val="00281AA0"/>
    <w:rsid w:val="00282874"/>
    <w:rsid w:val="00282905"/>
    <w:rsid w:val="002900CD"/>
    <w:rsid w:val="00291085"/>
    <w:rsid w:val="00291645"/>
    <w:rsid w:val="0029213E"/>
    <w:rsid w:val="00293D98"/>
    <w:rsid w:val="00294A6C"/>
    <w:rsid w:val="00296646"/>
    <w:rsid w:val="002966FA"/>
    <w:rsid w:val="002975CF"/>
    <w:rsid w:val="00297651"/>
    <w:rsid w:val="002A3DF2"/>
    <w:rsid w:val="002A3E0D"/>
    <w:rsid w:val="002A4079"/>
    <w:rsid w:val="002A523E"/>
    <w:rsid w:val="002A57AA"/>
    <w:rsid w:val="002A57D3"/>
    <w:rsid w:val="002A63C8"/>
    <w:rsid w:val="002B2576"/>
    <w:rsid w:val="002B4D62"/>
    <w:rsid w:val="002B6B5C"/>
    <w:rsid w:val="002B7FD7"/>
    <w:rsid w:val="002C1173"/>
    <w:rsid w:val="002C187E"/>
    <w:rsid w:val="002C1C71"/>
    <w:rsid w:val="002C2796"/>
    <w:rsid w:val="002C3218"/>
    <w:rsid w:val="002C3562"/>
    <w:rsid w:val="002C3897"/>
    <w:rsid w:val="002C4DDC"/>
    <w:rsid w:val="002C6BB7"/>
    <w:rsid w:val="002D1591"/>
    <w:rsid w:val="002D3EED"/>
    <w:rsid w:val="002D4E1A"/>
    <w:rsid w:val="002D758E"/>
    <w:rsid w:val="002E028E"/>
    <w:rsid w:val="002E2813"/>
    <w:rsid w:val="002E2DB5"/>
    <w:rsid w:val="002E3646"/>
    <w:rsid w:val="002E648F"/>
    <w:rsid w:val="002F0C11"/>
    <w:rsid w:val="002F6732"/>
    <w:rsid w:val="002F76AF"/>
    <w:rsid w:val="00300A57"/>
    <w:rsid w:val="003011DD"/>
    <w:rsid w:val="0030184A"/>
    <w:rsid w:val="003018DF"/>
    <w:rsid w:val="003036EE"/>
    <w:rsid w:val="0030514A"/>
    <w:rsid w:val="00305E13"/>
    <w:rsid w:val="0030756D"/>
    <w:rsid w:val="00310230"/>
    <w:rsid w:val="00310E95"/>
    <w:rsid w:val="00311CAE"/>
    <w:rsid w:val="00312C79"/>
    <w:rsid w:val="00316554"/>
    <w:rsid w:val="0032072A"/>
    <w:rsid w:val="00322F67"/>
    <w:rsid w:val="003240A5"/>
    <w:rsid w:val="0032464F"/>
    <w:rsid w:val="00324FB1"/>
    <w:rsid w:val="00325951"/>
    <w:rsid w:val="00326219"/>
    <w:rsid w:val="00326AE7"/>
    <w:rsid w:val="00326D0F"/>
    <w:rsid w:val="0032714B"/>
    <w:rsid w:val="003306E0"/>
    <w:rsid w:val="003329A3"/>
    <w:rsid w:val="00332B8F"/>
    <w:rsid w:val="00337A4A"/>
    <w:rsid w:val="003415EF"/>
    <w:rsid w:val="00341A8C"/>
    <w:rsid w:val="00342329"/>
    <w:rsid w:val="003423A0"/>
    <w:rsid w:val="00342A55"/>
    <w:rsid w:val="00343C99"/>
    <w:rsid w:val="00343D55"/>
    <w:rsid w:val="00343DB0"/>
    <w:rsid w:val="00344B08"/>
    <w:rsid w:val="003465D9"/>
    <w:rsid w:val="00350531"/>
    <w:rsid w:val="003514EE"/>
    <w:rsid w:val="00351FB9"/>
    <w:rsid w:val="0035315A"/>
    <w:rsid w:val="003536F8"/>
    <w:rsid w:val="00354A2A"/>
    <w:rsid w:val="00354BD1"/>
    <w:rsid w:val="003567A7"/>
    <w:rsid w:val="00356E66"/>
    <w:rsid w:val="003577B9"/>
    <w:rsid w:val="00357F16"/>
    <w:rsid w:val="0036092F"/>
    <w:rsid w:val="00362788"/>
    <w:rsid w:val="00364C74"/>
    <w:rsid w:val="003714AE"/>
    <w:rsid w:val="00371A46"/>
    <w:rsid w:val="00371B73"/>
    <w:rsid w:val="00372BA1"/>
    <w:rsid w:val="00372E1C"/>
    <w:rsid w:val="00373418"/>
    <w:rsid w:val="0038142E"/>
    <w:rsid w:val="003839FD"/>
    <w:rsid w:val="003875F7"/>
    <w:rsid w:val="00390A09"/>
    <w:rsid w:val="0039183B"/>
    <w:rsid w:val="00392F50"/>
    <w:rsid w:val="00394A76"/>
    <w:rsid w:val="003A20E2"/>
    <w:rsid w:val="003A2477"/>
    <w:rsid w:val="003A2718"/>
    <w:rsid w:val="003A32EF"/>
    <w:rsid w:val="003A5EDA"/>
    <w:rsid w:val="003A74C1"/>
    <w:rsid w:val="003A74F5"/>
    <w:rsid w:val="003B2216"/>
    <w:rsid w:val="003B2492"/>
    <w:rsid w:val="003B2584"/>
    <w:rsid w:val="003B338A"/>
    <w:rsid w:val="003B3458"/>
    <w:rsid w:val="003B3A95"/>
    <w:rsid w:val="003B6AB4"/>
    <w:rsid w:val="003B6BFB"/>
    <w:rsid w:val="003C0459"/>
    <w:rsid w:val="003C11C9"/>
    <w:rsid w:val="003C1344"/>
    <w:rsid w:val="003C1FB5"/>
    <w:rsid w:val="003C43E0"/>
    <w:rsid w:val="003D1233"/>
    <w:rsid w:val="003D274C"/>
    <w:rsid w:val="003D5779"/>
    <w:rsid w:val="003E2208"/>
    <w:rsid w:val="003E220C"/>
    <w:rsid w:val="003E23F9"/>
    <w:rsid w:val="003E48DA"/>
    <w:rsid w:val="003E4C71"/>
    <w:rsid w:val="003E68A3"/>
    <w:rsid w:val="003E7697"/>
    <w:rsid w:val="003E7C69"/>
    <w:rsid w:val="003F158C"/>
    <w:rsid w:val="003F3C37"/>
    <w:rsid w:val="003F5926"/>
    <w:rsid w:val="0040012B"/>
    <w:rsid w:val="004044E9"/>
    <w:rsid w:val="00405869"/>
    <w:rsid w:val="004075A3"/>
    <w:rsid w:val="00410940"/>
    <w:rsid w:val="00412DC5"/>
    <w:rsid w:val="004155C9"/>
    <w:rsid w:val="00415D3F"/>
    <w:rsid w:val="004168EA"/>
    <w:rsid w:val="00416CE4"/>
    <w:rsid w:val="004203A5"/>
    <w:rsid w:val="00421D92"/>
    <w:rsid w:val="00422193"/>
    <w:rsid w:val="004232FE"/>
    <w:rsid w:val="00426992"/>
    <w:rsid w:val="00433A66"/>
    <w:rsid w:val="00433F1E"/>
    <w:rsid w:val="00440756"/>
    <w:rsid w:val="004429B1"/>
    <w:rsid w:val="00442B5B"/>
    <w:rsid w:val="00444D67"/>
    <w:rsid w:val="00444DC4"/>
    <w:rsid w:val="004470D8"/>
    <w:rsid w:val="0045457F"/>
    <w:rsid w:val="00462E55"/>
    <w:rsid w:val="0046413D"/>
    <w:rsid w:val="00464D0D"/>
    <w:rsid w:val="00465B1A"/>
    <w:rsid w:val="00466DC0"/>
    <w:rsid w:val="0047065C"/>
    <w:rsid w:val="00471711"/>
    <w:rsid w:val="004747EB"/>
    <w:rsid w:val="00475515"/>
    <w:rsid w:val="00475E50"/>
    <w:rsid w:val="00476248"/>
    <w:rsid w:val="00480A75"/>
    <w:rsid w:val="00481764"/>
    <w:rsid w:val="0048499B"/>
    <w:rsid w:val="00484D3F"/>
    <w:rsid w:val="00490BB2"/>
    <w:rsid w:val="00490C18"/>
    <w:rsid w:val="0049213E"/>
    <w:rsid w:val="00494B76"/>
    <w:rsid w:val="004966DC"/>
    <w:rsid w:val="00497A32"/>
    <w:rsid w:val="004A092E"/>
    <w:rsid w:val="004A5988"/>
    <w:rsid w:val="004A7D26"/>
    <w:rsid w:val="004A7E07"/>
    <w:rsid w:val="004B3D72"/>
    <w:rsid w:val="004B496B"/>
    <w:rsid w:val="004B5C4C"/>
    <w:rsid w:val="004B5EFE"/>
    <w:rsid w:val="004B7E67"/>
    <w:rsid w:val="004C0AA1"/>
    <w:rsid w:val="004C372A"/>
    <w:rsid w:val="004C4759"/>
    <w:rsid w:val="004C5461"/>
    <w:rsid w:val="004C594B"/>
    <w:rsid w:val="004C5E01"/>
    <w:rsid w:val="004D3B41"/>
    <w:rsid w:val="004D4783"/>
    <w:rsid w:val="004D5603"/>
    <w:rsid w:val="004D7DFC"/>
    <w:rsid w:val="004E0F1F"/>
    <w:rsid w:val="004E43B3"/>
    <w:rsid w:val="004E590F"/>
    <w:rsid w:val="004E5F27"/>
    <w:rsid w:val="004E64AE"/>
    <w:rsid w:val="004F027E"/>
    <w:rsid w:val="004F201A"/>
    <w:rsid w:val="004F4B54"/>
    <w:rsid w:val="004F5EC6"/>
    <w:rsid w:val="00500B06"/>
    <w:rsid w:val="005017E2"/>
    <w:rsid w:val="00507889"/>
    <w:rsid w:val="005102CA"/>
    <w:rsid w:val="005106C2"/>
    <w:rsid w:val="00510C6E"/>
    <w:rsid w:val="00511729"/>
    <w:rsid w:val="005128EE"/>
    <w:rsid w:val="00513751"/>
    <w:rsid w:val="00513ADD"/>
    <w:rsid w:val="005159F9"/>
    <w:rsid w:val="005200F5"/>
    <w:rsid w:val="00520328"/>
    <w:rsid w:val="00521F85"/>
    <w:rsid w:val="00526D8D"/>
    <w:rsid w:val="00530295"/>
    <w:rsid w:val="00532315"/>
    <w:rsid w:val="00532C98"/>
    <w:rsid w:val="00533414"/>
    <w:rsid w:val="00533B1E"/>
    <w:rsid w:val="0054129D"/>
    <w:rsid w:val="0054532F"/>
    <w:rsid w:val="0054581A"/>
    <w:rsid w:val="00553986"/>
    <w:rsid w:val="00556F66"/>
    <w:rsid w:val="005574F5"/>
    <w:rsid w:val="00561D4A"/>
    <w:rsid w:val="00566091"/>
    <w:rsid w:val="005660B5"/>
    <w:rsid w:val="00566C7D"/>
    <w:rsid w:val="00566E6B"/>
    <w:rsid w:val="00567B1D"/>
    <w:rsid w:val="00572802"/>
    <w:rsid w:val="00573284"/>
    <w:rsid w:val="00573B3B"/>
    <w:rsid w:val="0057685E"/>
    <w:rsid w:val="0058081C"/>
    <w:rsid w:val="005819D2"/>
    <w:rsid w:val="0058356F"/>
    <w:rsid w:val="00583A63"/>
    <w:rsid w:val="00583F6B"/>
    <w:rsid w:val="00584264"/>
    <w:rsid w:val="00584863"/>
    <w:rsid w:val="00586F30"/>
    <w:rsid w:val="00591762"/>
    <w:rsid w:val="005934BB"/>
    <w:rsid w:val="005A006F"/>
    <w:rsid w:val="005A05D3"/>
    <w:rsid w:val="005A1451"/>
    <w:rsid w:val="005A280D"/>
    <w:rsid w:val="005A4152"/>
    <w:rsid w:val="005A75B7"/>
    <w:rsid w:val="005B0707"/>
    <w:rsid w:val="005B0F46"/>
    <w:rsid w:val="005B1253"/>
    <w:rsid w:val="005B384E"/>
    <w:rsid w:val="005B4229"/>
    <w:rsid w:val="005B4515"/>
    <w:rsid w:val="005B4C0D"/>
    <w:rsid w:val="005B4F69"/>
    <w:rsid w:val="005B7771"/>
    <w:rsid w:val="005C007B"/>
    <w:rsid w:val="005C6A8C"/>
    <w:rsid w:val="005C6C40"/>
    <w:rsid w:val="005D5821"/>
    <w:rsid w:val="005D737B"/>
    <w:rsid w:val="005E1D59"/>
    <w:rsid w:val="005E2F6D"/>
    <w:rsid w:val="005E4E04"/>
    <w:rsid w:val="005E54F6"/>
    <w:rsid w:val="005E64C5"/>
    <w:rsid w:val="005E65F7"/>
    <w:rsid w:val="005F380C"/>
    <w:rsid w:val="005F55C7"/>
    <w:rsid w:val="005F5771"/>
    <w:rsid w:val="005F6B07"/>
    <w:rsid w:val="005F7FB5"/>
    <w:rsid w:val="00601381"/>
    <w:rsid w:val="0060201F"/>
    <w:rsid w:val="0060269A"/>
    <w:rsid w:val="00602DEE"/>
    <w:rsid w:val="00603DF3"/>
    <w:rsid w:val="00607764"/>
    <w:rsid w:val="006140A4"/>
    <w:rsid w:val="00614A3F"/>
    <w:rsid w:val="006156F6"/>
    <w:rsid w:val="00616324"/>
    <w:rsid w:val="00616F28"/>
    <w:rsid w:val="006236FA"/>
    <w:rsid w:val="006247E8"/>
    <w:rsid w:val="00625232"/>
    <w:rsid w:val="00626212"/>
    <w:rsid w:val="00632EBB"/>
    <w:rsid w:val="0063624D"/>
    <w:rsid w:val="00636522"/>
    <w:rsid w:val="00636B49"/>
    <w:rsid w:val="006373EC"/>
    <w:rsid w:val="006379B7"/>
    <w:rsid w:val="00640206"/>
    <w:rsid w:val="00640E74"/>
    <w:rsid w:val="00645930"/>
    <w:rsid w:val="00645AA4"/>
    <w:rsid w:val="006463C2"/>
    <w:rsid w:val="006466E5"/>
    <w:rsid w:val="0065197B"/>
    <w:rsid w:val="0065327F"/>
    <w:rsid w:val="006539EF"/>
    <w:rsid w:val="0065411C"/>
    <w:rsid w:val="00654FF2"/>
    <w:rsid w:val="00655EC9"/>
    <w:rsid w:val="00656C03"/>
    <w:rsid w:val="00656C88"/>
    <w:rsid w:val="00661466"/>
    <w:rsid w:val="00666025"/>
    <w:rsid w:val="00667C33"/>
    <w:rsid w:val="00670C60"/>
    <w:rsid w:val="00671791"/>
    <w:rsid w:val="0067551C"/>
    <w:rsid w:val="00675CB3"/>
    <w:rsid w:val="00681B62"/>
    <w:rsid w:val="00682154"/>
    <w:rsid w:val="00682B38"/>
    <w:rsid w:val="00684525"/>
    <w:rsid w:val="0068586D"/>
    <w:rsid w:val="006868A4"/>
    <w:rsid w:val="006906EB"/>
    <w:rsid w:val="00690712"/>
    <w:rsid w:val="00690B2E"/>
    <w:rsid w:val="00692642"/>
    <w:rsid w:val="006926E5"/>
    <w:rsid w:val="006928A4"/>
    <w:rsid w:val="00692934"/>
    <w:rsid w:val="00692AEF"/>
    <w:rsid w:val="0069361B"/>
    <w:rsid w:val="00694A29"/>
    <w:rsid w:val="00695DED"/>
    <w:rsid w:val="00697C93"/>
    <w:rsid w:val="006A06EA"/>
    <w:rsid w:val="006A16CD"/>
    <w:rsid w:val="006A1C42"/>
    <w:rsid w:val="006A30A9"/>
    <w:rsid w:val="006A62F0"/>
    <w:rsid w:val="006A71EF"/>
    <w:rsid w:val="006A7F6A"/>
    <w:rsid w:val="006B0CBE"/>
    <w:rsid w:val="006B1097"/>
    <w:rsid w:val="006B61E1"/>
    <w:rsid w:val="006B6297"/>
    <w:rsid w:val="006B6894"/>
    <w:rsid w:val="006C2A60"/>
    <w:rsid w:val="006C369C"/>
    <w:rsid w:val="006C5496"/>
    <w:rsid w:val="006D1C26"/>
    <w:rsid w:val="006D238D"/>
    <w:rsid w:val="006D6C35"/>
    <w:rsid w:val="006E141E"/>
    <w:rsid w:val="006E15BE"/>
    <w:rsid w:val="006E1D87"/>
    <w:rsid w:val="006E1D8B"/>
    <w:rsid w:val="006E5A43"/>
    <w:rsid w:val="006E6D73"/>
    <w:rsid w:val="006F00E2"/>
    <w:rsid w:val="006F2C00"/>
    <w:rsid w:val="006F6672"/>
    <w:rsid w:val="006F6CB9"/>
    <w:rsid w:val="006F76F1"/>
    <w:rsid w:val="0070220C"/>
    <w:rsid w:val="00702615"/>
    <w:rsid w:val="0070360F"/>
    <w:rsid w:val="00706897"/>
    <w:rsid w:val="007068CC"/>
    <w:rsid w:val="007108C7"/>
    <w:rsid w:val="00712E0A"/>
    <w:rsid w:val="00712F46"/>
    <w:rsid w:val="007174B3"/>
    <w:rsid w:val="0072741F"/>
    <w:rsid w:val="00736CB0"/>
    <w:rsid w:val="00737394"/>
    <w:rsid w:val="00740881"/>
    <w:rsid w:val="00742193"/>
    <w:rsid w:val="00742443"/>
    <w:rsid w:val="00742FCE"/>
    <w:rsid w:val="00746AD3"/>
    <w:rsid w:val="007527E9"/>
    <w:rsid w:val="00752FE0"/>
    <w:rsid w:val="00754E31"/>
    <w:rsid w:val="00755EB4"/>
    <w:rsid w:val="007575AF"/>
    <w:rsid w:val="00757670"/>
    <w:rsid w:val="00760EE0"/>
    <w:rsid w:val="00761A2B"/>
    <w:rsid w:val="007655FF"/>
    <w:rsid w:val="0076577A"/>
    <w:rsid w:val="0076643E"/>
    <w:rsid w:val="00766743"/>
    <w:rsid w:val="00770B16"/>
    <w:rsid w:val="00771572"/>
    <w:rsid w:val="007719C7"/>
    <w:rsid w:val="00772834"/>
    <w:rsid w:val="007757C6"/>
    <w:rsid w:val="00775F9D"/>
    <w:rsid w:val="0077756B"/>
    <w:rsid w:val="007801BC"/>
    <w:rsid w:val="0078166F"/>
    <w:rsid w:val="00783811"/>
    <w:rsid w:val="00784C42"/>
    <w:rsid w:val="007853D0"/>
    <w:rsid w:val="0078769A"/>
    <w:rsid w:val="00787C69"/>
    <w:rsid w:val="007902FC"/>
    <w:rsid w:val="0079113C"/>
    <w:rsid w:val="00791B95"/>
    <w:rsid w:val="00792D0E"/>
    <w:rsid w:val="00795E58"/>
    <w:rsid w:val="0079718A"/>
    <w:rsid w:val="007A0340"/>
    <w:rsid w:val="007A0798"/>
    <w:rsid w:val="007A33DF"/>
    <w:rsid w:val="007A3449"/>
    <w:rsid w:val="007A5314"/>
    <w:rsid w:val="007A63C5"/>
    <w:rsid w:val="007A7A6A"/>
    <w:rsid w:val="007A7E57"/>
    <w:rsid w:val="007B1097"/>
    <w:rsid w:val="007B1A7A"/>
    <w:rsid w:val="007B301A"/>
    <w:rsid w:val="007B36B4"/>
    <w:rsid w:val="007B735F"/>
    <w:rsid w:val="007C0D1C"/>
    <w:rsid w:val="007C4C47"/>
    <w:rsid w:val="007C5637"/>
    <w:rsid w:val="007C5879"/>
    <w:rsid w:val="007C7B02"/>
    <w:rsid w:val="007C7B78"/>
    <w:rsid w:val="007D020C"/>
    <w:rsid w:val="007D3740"/>
    <w:rsid w:val="007D4FCF"/>
    <w:rsid w:val="007D5ABB"/>
    <w:rsid w:val="007E155E"/>
    <w:rsid w:val="007E223F"/>
    <w:rsid w:val="007E337E"/>
    <w:rsid w:val="007E4983"/>
    <w:rsid w:val="007E6CD3"/>
    <w:rsid w:val="007E7CA5"/>
    <w:rsid w:val="007E7CCA"/>
    <w:rsid w:val="007F0396"/>
    <w:rsid w:val="007F1859"/>
    <w:rsid w:val="007F194B"/>
    <w:rsid w:val="007F3FA3"/>
    <w:rsid w:val="007F5DED"/>
    <w:rsid w:val="00804AFD"/>
    <w:rsid w:val="008064CE"/>
    <w:rsid w:val="00806654"/>
    <w:rsid w:val="00807D86"/>
    <w:rsid w:val="00810798"/>
    <w:rsid w:val="00811B9A"/>
    <w:rsid w:val="00812E8C"/>
    <w:rsid w:val="0081427D"/>
    <w:rsid w:val="008163EE"/>
    <w:rsid w:val="00816635"/>
    <w:rsid w:val="008168F1"/>
    <w:rsid w:val="00816A3A"/>
    <w:rsid w:val="00817CEE"/>
    <w:rsid w:val="00821A96"/>
    <w:rsid w:val="00826A11"/>
    <w:rsid w:val="008271DD"/>
    <w:rsid w:val="00830EF7"/>
    <w:rsid w:val="00831FA3"/>
    <w:rsid w:val="00832C19"/>
    <w:rsid w:val="00833404"/>
    <w:rsid w:val="00834209"/>
    <w:rsid w:val="00837CB6"/>
    <w:rsid w:val="00840ED4"/>
    <w:rsid w:val="008418A3"/>
    <w:rsid w:val="0084218C"/>
    <w:rsid w:val="008440F6"/>
    <w:rsid w:val="00846648"/>
    <w:rsid w:val="00851896"/>
    <w:rsid w:val="00853255"/>
    <w:rsid w:val="008536B3"/>
    <w:rsid w:val="0085541A"/>
    <w:rsid w:val="008562BB"/>
    <w:rsid w:val="00856E31"/>
    <w:rsid w:val="0086110A"/>
    <w:rsid w:val="008612D6"/>
    <w:rsid w:val="00862548"/>
    <w:rsid w:val="008630FC"/>
    <w:rsid w:val="00872C46"/>
    <w:rsid w:val="00873E92"/>
    <w:rsid w:val="00883E60"/>
    <w:rsid w:val="00884707"/>
    <w:rsid w:val="008879C4"/>
    <w:rsid w:val="00890BCF"/>
    <w:rsid w:val="00890FD9"/>
    <w:rsid w:val="008944CD"/>
    <w:rsid w:val="00894CE1"/>
    <w:rsid w:val="008961C3"/>
    <w:rsid w:val="008A1E29"/>
    <w:rsid w:val="008A29BD"/>
    <w:rsid w:val="008A55CA"/>
    <w:rsid w:val="008A5EAE"/>
    <w:rsid w:val="008A6D05"/>
    <w:rsid w:val="008B0A65"/>
    <w:rsid w:val="008B2068"/>
    <w:rsid w:val="008B2C97"/>
    <w:rsid w:val="008B2FD2"/>
    <w:rsid w:val="008B5372"/>
    <w:rsid w:val="008B5756"/>
    <w:rsid w:val="008B70A2"/>
    <w:rsid w:val="008C07DD"/>
    <w:rsid w:val="008C2911"/>
    <w:rsid w:val="008C3580"/>
    <w:rsid w:val="008C7FB8"/>
    <w:rsid w:val="008D3F07"/>
    <w:rsid w:val="008D5F6B"/>
    <w:rsid w:val="008D7CDD"/>
    <w:rsid w:val="008E350F"/>
    <w:rsid w:val="008E3B41"/>
    <w:rsid w:val="008E646B"/>
    <w:rsid w:val="008E6D0B"/>
    <w:rsid w:val="008E6EDD"/>
    <w:rsid w:val="008E749D"/>
    <w:rsid w:val="008E79CA"/>
    <w:rsid w:val="008F024F"/>
    <w:rsid w:val="008F0DAC"/>
    <w:rsid w:val="008F7E9A"/>
    <w:rsid w:val="00900007"/>
    <w:rsid w:val="0090114A"/>
    <w:rsid w:val="0090291A"/>
    <w:rsid w:val="0090641D"/>
    <w:rsid w:val="00906481"/>
    <w:rsid w:val="00907BC3"/>
    <w:rsid w:val="00911CB3"/>
    <w:rsid w:val="00914C01"/>
    <w:rsid w:val="00916D5D"/>
    <w:rsid w:val="00917918"/>
    <w:rsid w:val="0092220D"/>
    <w:rsid w:val="00923D30"/>
    <w:rsid w:val="0092750A"/>
    <w:rsid w:val="00927602"/>
    <w:rsid w:val="00931ABE"/>
    <w:rsid w:val="00931B5F"/>
    <w:rsid w:val="009326E7"/>
    <w:rsid w:val="00932903"/>
    <w:rsid w:val="0093526E"/>
    <w:rsid w:val="009450E1"/>
    <w:rsid w:val="009451BC"/>
    <w:rsid w:val="009468EC"/>
    <w:rsid w:val="00946E6F"/>
    <w:rsid w:val="00947620"/>
    <w:rsid w:val="00947BA9"/>
    <w:rsid w:val="009502E4"/>
    <w:rsid w:val="00950960"/>
    <w:rsid w:val="009510EF"/>
    <w:rsid w:val="00954CC5"/>
    <w:rsid w:val="00955146"/>
    <w:rsid w:val="00956671"/>
    <w:rsid w:val="0096124D"/>
    <w:rsid w:val="00962029"/>
    <w:rsid w:val="0096287F"/>
    <w:rsid w:val="00962C3D"/>
    <w:rsid w:val="00963D45"/>
    <w:rsid w:val="00965B87"/>
    <w:rsid w:val="00966E5B"/>
    <w:rsid w:val="00967E65"/>
    <w:rsid w:val="00970F2A"/>
    <w:rsid w:val="00971E42"/>
    <w:rsid w:val="00974D59"/>
    <w:rsid w:val="00974F5A"/>
    <w:rsid w:val="009751D7"/>
    <w:rsid w:val="009777BC"/>
    <w:rsid w:val="00977A46"/>
    <w:rsid w:val="00977BA5"/>
    <w:rsid w:val="00977BC9"/>
    <w:rsid w:val="00981960"/>
    <w:rsid w:val="00982B92"/>
    <w:rsid w:val="00984A0B"/>
    <w:rsid w:val="00984BD9"/>
    <w:rsid w:val="009902A2"/>
    <w:rsid w:val="00991362"/>
    <w:rsid w:val="00991CF9"/>
    <w:rsid w:val="00992496"/>
    <w:rsid w:val="00992CD8"/>
    <w:rsid w:val="00993A37"/>
    <w:rsid w:val="00994163"/>
    <w:rsid w:val="009959F2"/>
    <w:rsid w:val="0099749E"/>
    <w:rsid w:val="00997AC3"/>
    <w:rsid w:val="009A2526"/>
    <w:rsid w:val="009A7C6B"/>
    <w:rsid w:val="009B0DD6"/>
    <w:rsid w:val="009B22E6"/>
    <w:rsid w:val="009B248F"/>
    <w:rsid w:val="009B28C3"/>
    <w:rsid w:val="009B36D8"/>
    <w:rsid w:val="009B40AE"/>
    <w:rsid w:val="009B4DFE"/>
    <w:rsid w:val="009B73D6"/>
    <w:rsid w:val="009C049E"/>
    <w:rsid w:val="009C0632"/>
    <w:rsid w:val="009C0967"/>
    <w:rsid w:val="009C19B6"/>
    <w:rsid w:val="009C4514"/>
    <w:rsid w:val="009D203E"/>
    <w:rsid w:val="009D2AF7"/>
    <w:rsid w:val="009D35D0"/>
    <w:rsid w:val="009D4556"/>
    <w:rsid w:val="009D65F9"/>
    <w:rsid w:val="009D6F36"/>
    <w:rsid w:val="009D732F"/>
    <w:rsid w:val="009E05ED"/>
    <w:rsid w:val="009E0A17"/>
    <w:rsid w:val="009E24CD"/>
    <w:rsid w:val="009E2757"/>
    <w:rsid w:val="009E2D48"/>
    <w:rsid w:val="009E49E6"/>
    <w:rsid w:val="009E566C"/>
    <w:rsid w:val="009E62BA"/>
    <w:rsid w:val="009E75CC"/>
    <w:rsid w:val="009F0794"/>
    <w:rsid w:val="009F13C7"/>
    <w:rsid w:val="009F5B81"/>
    <w:rsid w:val="00A0180E"/>
    <w:rsid w:val="00A030D9"/>
    <w:rsid w:val="00A03882"/>
    <w:rsid w:val="00A03ACF"/>
    <w:rsid w:val="00A044A3"/>
    <w:rsid w:val="00A06B1D"/>
    <w:rsid w:val="00A074FE"/>
    <w:rsid w:val="00A1324E"/>
    <w:rsid w:val="00A159D4"/>
    <w:rsid w:val="00A169FE"/>
    <w:rsid w:val="00A2077D"/>
    <w:rsid w:val="00A22432"/>
    <w:rsid w:val="00A229F6"/>
    <w:rsid w:val="00A23FFE"/>
    <w:rsid w:val="00A3189E"/>
    <w:rsid w:val="00A3407C"/>
    <w:rsid w:val="00A341C6"/>
    <w:rsid w:val="00A35C99"/>
    <w:rsid w:val="00A36C48"/>
    <w:rsid w:val="00A40FB0"/>
    <w:rsid w:val="00A43C45"/>
    <w:rsid w:val="00A449B8"/>
    <w:rsid w:val="00A4513B"/>
    <w:rsid w:val="00A45313"/>
    <w:rsid w:val="00A46C24"/>
    <w:rsid w:val="00A5066E"/>
    <w:rsid w:val="00A52FED"/>
    <w:rsid w:val="00A54C34"/>
    <w:rsid w:val="00A55138"/>
    <w:rsid w:val="00A57F59"/>
    <w:rsid w:val="00A61728"/>
    <w:rsid w:val="00A6393A"/>
    <w:rsid w:val="00A64FB8"/>
    <w:rsid w:val="00A659F8"/>
    <w:rsid w:val="00A65E3C"/>
    <w:rsid w:val="00A65FBE"/>
    <w:rsid w:val="00A66252"/>
    <w:rsid w:val="00A673F1"/>
    <w:rsid w:val="00A72AF6"/>
    <w:rsid w:val="00A73E32"/>
    <w:rsid w:val="00A749A4"/>
    <w:rsid w:val="00A775D8"/>
    <w:rsid w:val="00A7763E"/>
    <w:rsid w:val="00A81E6E"/>
    <w:rsid w:val="00A82212"/>
    <w:rsid w:val="00A85808"/>
    <w:rsid w:val="00A8770E"/>
    <w:rsid w:val="00A92169"/>
    <w:rsid w:val="00A92649"/>
    <w:rsid w:val="00A93031"/>
    <w:rsid w:val="00A93F50"/>
    <w:rsid w:val="00A9467A"/>
    <w:rsid w:val="00A9636B"/>
    <w:rsid w:val="00AA0062"/>
    <w:rsid w:val="00AA213B"/>
    <w:rsid w:val="00AA4B1E"/>
    <w:rsid w:val="00AA65ED"/>
    <w:rsid w:val="00AA674D"/>
    <w:rsid w:val="00AB0181"/>
    <w:rsid w:val="00AB038B"/>
    <w:rsid w:val="00AB1CAB"/>
    <w:rsid w:val="00AB2560"/>
    <w:rsid w:val="00AB550C"/>
    <w:rsid w:val="00AB560A"/>
    <w:rsid w:val="00AB5B4C"/>
    <w:rsid w:val="00AB6495"/>
    <w:rsid w:val="00AB6E49"/>
    <w:rsid w:val="00AB7725"/>
    <w:rsid w:val="00AB7BD6"/>
    <w:rsid w:val="00AC21B7"/>
    <w:rsid w:val="00AC3141"/>
    <w:rsid w:val="00AC3F4E"/>
    <w:rsid w:val="00AC58BD"/>
    <w:rsid w:val="00AC778C"/>
    <w:rsid w:val="00AD0CD8"/>
    <w:rsid w:val="00AD136B"/>
    <w:rsid w:val="00AD19E6"/>
    <w:rsid w:val="00AD279D"/>
    <w:rsid w:val="00AD61E4"/>
    <w:rsid w:val="00AD7116"/>
    <w:rsid w:val="00AD7224"/>
    <w:rsid w:val="00AE34E5"/>
    <w:rsid w:val="00AE6BDA"/>
    <w:rsid w:val="00AE70E5"/>
    <w:rsid w:val="00AF181E"/>
    <w:rsid w:val="00AF197A"/>
    <w:rsid w:val="00AF2BE8"/>
    <w:rsid w:val="00AF31B1"/>
    <w:rsid w:val="00AF37C9"/>
    <w:rsid w:val="00AF5C7C"/>
    <w:rsid w:val="00AF6BBE"/>
    <w:rsid w:val="00AF74CB"/>
    <w:rsid w:val="00AF7961"/>
    <w:rsid w:val="00B012F8"/>
    <w:rsid w:val="00B0190F"/>
    <w:rsid w:val="00B03205"/>
    <w:rsid w:val="00B040EC"/>
    <w:rsid w:val="00B05CE3"/>
    <w:rsid w:val="00B062B6"/>
    <w:rsid w:val="00B076D6"/>
    <w:rsid w:val="00B078E0"/>
    <w:rsid w:val="00B079EB"/>
    <w:rsid w:val="00B10A17"/>
    <w:rsid w:val="00B121FD"/>
    <w:rsid w:val="00B12B4A"/>
    <w:rsid w:val="00B167BB"/>
    <w:rsid w:val="00B17715"/>
    <w:rsid w:val="00B22562"/>
    <w:rsid w:val="00B248E8"/>
    <w:rsid w:val="00B306E8"/>
    <w:rsid w:val="00B33CFA"/>
    <w:rsid w:val="00B344FE"/>
    <w:rsid w:val="00B357E6"/>
    <w:rsid w:val="00B408F0"/>
    <w:rsid w:val="00B42F7E"/>
    <w:rsid w:val="00B4335E"/>
    <w:rsid w:val="00B43818"/>
    <w:rsid w:val="00B43819"/>
    <w:rsid w:val="00B44D2B"/>
    <w:rsid w:val="00B45093"/>
    <w:rsid w:val="00B47642"/>
    <w:rsid w:val="00B51A82"/>
    <w:rsid w:val="00B531A8"/>
    <w:rsid w:val="00B577AA"/>
    <w:rsid w:val="00B57AE5"/>
    <w:rsid w:val="00B60E2E"/>
    <w:rsid w:val="00B61B4A"/>
    <w:rsid w:val="00B61CC4"/>
    <w:rsid w:val="00B6302B"/>
    <w:rsid w:val="00B65206"/>
    <w:rsid w:val="00B652CF"/>
    <w:rsid w:val="00B656A9"/>
    <w:rsid w:val="00B66245"/>
    <w:rsid w:val="00B67E21"/>
    <w:rsid w:val="00B71385"/>
    <w:rsid w:val="00B72BDB"/>
    <w:rsid w:val="00B773E8"/>
    <w:rsid w:val="00B8002F"/>
    <w:rsid w:val="00B800D4"/>
    <w:rsid w:val="00B81E97"/>
    <w:rsid w:val="00B82437"/>
    <w:rsid w:val="00B82B40"/>
    <w:rsid w:val="00B862A4"/>
    <w:rsid w:val="00B8681F"/>
    <w:rsid w:val="00B8750E"/>
    <w:rsid w:val="00B87AA2"/>
    <w:rsid w:val="00B87AF1"/>
    <w:rsid w:val="00B91284"/>
    <w:rsid w:val="00B9329F"/>
    <w:rsid w:val="00B93B4B"/>
    <w:rsid w:val="00B94466"/>
    <w:rsid w:val="00B95CF7"/>
    <w:rsid w:val="00B96135"/>
    <w:rsid w:val="00B977C5"/>
    <w:rsid w:val="00BA047C"/>
    <w:rsid w:val="00BA0660"/>
    <w:rsid w:val="00BA326C"/>
    <w:rsid w:val="00BA6BBE"/>
    <w:rsid w:val="00BB2E97"/>
    <w:rsid w:val="00BB5475"/>
    <w:rsid w:val="00BB5BC7"/>
    <w:rsid w:val="00BC0EFB"/>
    <w:rsid w:val="00BC26AC"/>
    <w:rsid w:val="00BC3AA4"/>
    <w:rsid w:val="00BC4868"/>
    <w:rsid w:val="00BC56C0"/>
    <w:rsid w:val="00BC6FF6"/>
    <w:rsid w:val="00BC7C0F"/>
    <w:rsid w:val="00BD03D1"/>
    <w:rsid w:val="00BD0659"/>
    <w:rsid w:val="00BD0D7E"/>
    <w:rsid w:val="00BD0FC5"/>
    <w:rsid w:val="00BD225D"/>
    <w:rsid w:val="00BD4F3C"/>
    <w:rsid w:val="00BE0256"/>
    <w:rsid w:val="00BE1FE0"/>
    <w:rsid w:val="00BE2EFA"/>
    <w:rsid w:val="00BE461F"/>
    <w:rsid w:val="00BE5BA9"/>
    <w:rsid w:val="00BE65EB"/>
    <w:rsid w:val="00BF44A2"/>
    <w:rsid w:val="00BF48C4"/>
    <w:rsid w:val="00BF53D7"/>
    <w:rsid w:val="00C00119"/>
    <w:rsid w:val="00C022E0"/>
    <w:rsid w:val="00C037D7"/>
    <w:rsid w:val="00C04531"/>
    <w:rsid w:val="00C062F2"/>
    <w:rsid w:val="00C0727F"/>
    <w:rsid w:val="00C07B87"/>
    <w:rsid w:val="00C11438"/>
    <w:rsid w:val="00C11F8D"/>
    <w:rsid w:val="00C1256F"/>
    <w:rsid w:val="00C12A79"/>
    <w:rsid w:val="00C12B7E"/>
    <w:rsid w:val="00C138A9"/>
    <w:rsid w:val="00C16B05"/>
    <w:rsid w:val="00C17B16"/>
    <w:rsid w:val="00C2542E"/>
    <w:rsid w:val="00C25EF7"/>
    <w:rsid w:val="00C27419"/>
    <w:rsid w:val="00C311FF"/>
    <w:rsid w:val="00C31949"/>
    <w:rsid w:val="00C319BB"/>
    <w:rsid w:val="00C32522"/>
    <w:rsid w:val="00C32663"/>
    <w:rsid w:val="00C345E3"/>
    <w:rsid w:val="00C3475C"/>
    <w:rsid w:val="00C37FFC"/>
    <w:rsid w:val="00C422B3"/>
    <w:rsid w:val="00C42A86"/>
    <w:rsid w:val="00C4369C"/>
    <w:rsid w:val="00C44533"/>
    <w:rsid w:val="00C46210"/>
    <w:rsid w:val="00C46730"/>
    <w:rsid w:val="00C51A14"/>
    <w:rsid w:val="00C52659"/>
    <w:rsid w:val="00C5280E"/>
    <w:rsid w:val="00C53234"/>
    <w:rsid w:val="00C551E1"/>
    <w:rsid w:val="00C5543F"/>
    <w:rsid w:val="00C555CE"/>
    <w:rsid w:val="00C56E42"/>
    <w:rsid w:val="00C6116C"/>
    <w:rsid w:val="00C611EE"/>
    <w:rsid w:val="00C63E4C"/>
    <w:rsid w:val="00C63FF1"/>
    <w:rsid w:val="00C6608E"/>
    <w:rsid w:val="00C66179"/>
    <w:rsid w:val="00C663AD"/>
    <w:rsid w:val="00C729FA"/>
    <w:rsid w:val="00C73544"/>
    <w:rsid w:val="00C74BED"/>
    <w:rsid w:val="00C74E90"/>
    <w:rsid w:val="00C74F90"/>
    <w:rsid w:val="00C76697"/>
    <w:rsid w:val="00C84525"/>
    <w:rsid w:val="00C84921"/>
    <w:rsid w:val="00C849E6"/>
    <w:rsid w:val="00C864E3"/>
    <w:rsid w:val="00C90CFA"/>
    <w:rsid w:val="00C90E82"/>
    <w:rsid w:val="00C91E70"/>
    <w:rsid w:val="00C9409F"/>
    <w:rsid w:val="00C95373"/>
    <w:rsid w:val="00C969D6"/>
    <w:rsid w:val="00C97587"/>
    <w:rsid w:val="00C976BB"/>
    <w:rsid w:val="00C97D92"/>
    <w:rsid w:val="00CA257F"/>
    <w:rsid w:val="00CA302C"/>
    <w:rsid w:val="00CA3A26"/>
    <w:rsid w:val="00CA7C9A"/>
    <w:rsid w:val="00CA7DD6"/>
    <w:rsid w:val="00CB0749"/>
    <w:rsid w:val="00CB0939"/>
    <w:rsid w:val="00CB178B"/>
    <w:rsid w:val="00CB271E"/>
    <w:rsid w:val="00CB59EF"/>
    <w:rsid w:val="00CB6CF0"/>
    <w:rsid w:val="00CB6EA6"/>
    <w:rsid w:val="00CC494A"/>
    <w:rsid w:val="00CC5F3A"/>
    <w:rsid w:val="00CC790A"/>
    <w:rsid w:val="00CC7B7A"/>
    <w:rsid w:val="00CD2469"/>
    <w:rsid w:val="00CD2C29"/>
    <w:rsid w:val="00CD690B"/>
    <w:rsid w:val="00CE0E77"/>
    <w:rsid w:val="00CE0F74"/>
    <w:rsid w:val="00CE3E0B"/>
    <w:rsid w:val="00CE5748"/>
    <w:rsid w:val="00CE6DDA"/>
    <w:rsid w:val="00CE7924"/>
    <w:rsid w:val="00CF0603"/>
    <w:rsid w:val="00CF1657"/>
    <w:rsid w:val="00CF2371"/>
    <w:rsid w:val="00CF276E"/>
    <w:rsid w:val="00CF6D4F"/>
    <w:rsid w:val="00CF7BBA"/>
    <w:rsid w:val="00D01090"/>
    <w:rsid w:val="00D01575"/>
    <w:rsid w:val="00D01591"/>
    <w:rsid w:val="00D0185F"/>
    <w:rsid w:val="00D01903"/>
    <w:rsid w:val="00D0223E"/>
    <w:rsid w:val="00D03FFA"/>
    <w:rsid w:val="00D0426E"/>
    <w:rsid w:val="00D04A2D"/>
    <w:rsid w:val="00D06799"/>
    <w:rsid w:val="00D100C5"/>
    <w:rsid w:val="00D10580"/>
    <w:rsid w:val="00D11223"/>
    <w:rsid w:val="00D1381A"/>
    <w:rsid w:val="00D14428"/>
    <w:rsid w:val="00D15D58"/>
    <w:rsid w:val="00D16ADA"/>
    <w:rsid w:val="00D2126C"/>
    <w:rsid w:val="00D21373"/>
    <w:rsid w:val="00D226C8"/>
    <w:rsid w:val="00D22B01"/>
    <w:rsid w:val="00D23C26"/>
    <w:rsid w:val="00D26265"/>
    <w:rsid w:val="00D26778"/>
    <w:rsid w:val="00D267A2"/>
    <w:rsid w:val="00D2766A"/>
    <w:rsid w:val="00D27DFE"/>
    <w:rsid w:val="00D317F8"/>
    <w:rsid w:val="00D31922"/>
    <w:rsid w:val="00D32C0E"/>
    <w:rsid w:val="00D32EBD"/>
    <w:rsid w:val="00D33D30"/>
    <w:rsid w:val="00D342CF"/>
    <w:rsid w:val="00D342EC"/>
    <w:rsid w:val="00D3701C"/>
    <w:rsid w:val="00D3738D"/>
    <w:rsid w:val="00D4290F"/>
    <w:rsid w:val="00D42AF7"/>
    <w:rsid w:val="00D449A1"/>
    <w:rsid w:val="00D457A9"/>
    <w:rsid w:val="00D46EAE"/>
    <w:rsid w:val="00D5010F"/>
    <w:rsid w:val="00D508AF"/>
    <w:rsid w:val="00D55FCA"/>
    <w:rsid w:val="00D611F9"/>
    <w:rsid w:val="00D62D4C"/>
    <w:rsid w:val="00D67507"/>
    <w:rsid w:val="00D67632"/>
    <w:rsid w:val="00D67AF3"/>
    <w:rsid w:val="00D70021"/>
    <w:rsid w:val="00D70C86"/>
    <w:rsid w:val="00D73883"/>
    <w:rsid w:val="00D75D37"/>
    <w:rsid w:val="00D76C52"/>
    <w:rsid w:val="00D770DD"/>
    <w:rsid w:val="00D77B4C"/>
    <w:rsid w:val="00D810F9"/>
    <w:rsid w:val="00D822B2"/>
    <w:rsid w:val="00D82D32"/>
    <w:rsid w:val="00D835AE"/>
    <w:rsid w:val="00D85435"/>
    <w:rsid w:val="00D85ED6"/>
    <w:rsid w:val="00D8686D"/>
    <w:rsid w:val="00D91CB2"/>
    <w:rsid w:val="00D923ED"/>
    <w:rsid w:val="00D92C20"/>
    <w:rsid w:val="00D94AE8"/>
    <w:rsid w:val="00D963DB"/>
    <w:rsid w:val="00DA0900"/>
    <w:rsid w:val="00DA636E"/>
    <w:rsid w:val="00DA7E88"/>
    <w:rsid w:val="00DB178C"/>
    <w:rsid w:val="00DB2480"/>
    <w:rsid w:val="00DB50C3"/>
    <w:rsid w:val="00DB545D"/>
    <w:rsid w:val="00DB5F94"/>
    <w:rsid w:val="00DB6390"/>
    <w:rsid w:val="00DC1516"/>
    <w:rsid w:val="00DC250C"/>
    <w:rsid w:val="00DC366A"/>
    <w:rsid w:val="00DC384D"/>
    <w:rsid w:val="00DC3B2E"/>
    <w:rsid w:val="00DC4FCF"/>
    <w:rsid w:val="00DC6ACA"/>
    <w:rsid w:val="00DC7F2A"/>
    <w:rsid w:val="00DD153D"/>
    <w:rsid w:val="00DD4547"/>
    <w:rsid w:val="00DD5F1E"/>
    <w:rsid w:val="00DD64E9"/>
    <w:rsid w:val="00DD6643"/>
    <w:rsid w:val="00DD6965"/>
    <w:rsid w:val="00DD6C03"/>
    <w:rsid w:val="00DD6DD3"/>
    <w:rsid w:val="00DD7DC5"/>
    <w:rsid w:val="00DE39C2"/>
    <w:rsid w:val="00DE3D5A"/>
    <w:rsid w:val="00DE4D5A"/>
    <w:rsid w:val="00DF1503"/>
    <w:rsid w:val="00DF1552"/>
    <w:rsid w:val="00DF20FB"/>
    <w:rsid w:val="00DF2E8C"/>
    <w:rsid w:val="00DF3D37"/>
    <w:rsid w:val="00DF4118"/>
    <w:rsid w:val="00DF69E2"/>
    <w:rsid w:val="00E0049D"/>
    <w:rsid w:val="00E00550"/>
    <w:rsid w:val="00E01E18"/>
    <w:rsid w:val="00E10840"/>
    <w:rsid w:val="00E11A77"/>
    <w:rsid w:val="00E13302"/>
    <w:rsid w:val="00E1645F"/>
    <w:rsid w:val="00E168CA"/>
    <w:rsid w:val="00E176D6"/>
    <w:rsid w:val="00E2076B"/>
    <w:rsid w:val="00E23AFD"/>
    <w:rsid w:val="00E32187"/>
    <w:rsid w:val="00E32A4E"/>
    <w:rsid w:val="00E3381D"/>
    <w:rsid w:val="00E347A0"/>
    <w:rsid w:val="00E37AC3"/>
    <w:rsid w:val="00E434CE"/>
    <w:rsid w:val="00E53A5F"/>
    <w:rsid w:val="00E54BF3"/>
    <w:rsid w:val="00E62955"/>
    <w:rsid w:val="00E63DDD"/>
    <w:rsid w:val="00E646AC"/>
    <w:rsid w:val="00E64ADE"/>
    <w:rsid w:val="00E675CF"/>
    <w:rsid w:val="00E67783"/>
    <w:rsid w:val="00E7066C"/>
    <w:rsid w:val="00E72953"/>
    <w:rsid w:val="00E7506C"/>
    <w:rsid w:val="00E757EC"/>
    <w:rsid w:val="00E75CD0"/>
    <w:rsid w:val="00E77DB9"/>
    <w:rsid w:val="00E827E4"/>
    <w:rsid w:val="00E82EB4"/>
    <w:rsid w:val="00E8709C"/>
    <w:rsid w:val="00E91579"/>
    <w:rsid w:val="00E91A8D"/>
    <w:rsid w:val="00E938E2"/>
    <w:rsid w:val="00E94AA6"/>
    <w:rsid w:val="00E95299"/>
    <w:rsid w:val="00E95A5A"/>
    <w:rsid w:val="00E97429"/>
    <w:rsid w:val="00E974BC"/>
    <w:rsid w:val="00EA0623"/>
    <w:rsid w:val="00EA0878"/>
    <w:rsid w:val="00EA08FC"/>
    <w:rsid w:val="00EA3E60"/>
    <w:rsid w:val="00EA53BC"/>
    <w:rsid w:val="00EA5CF6"/>
    <w:rsid w:val="00EA6CE3"/>
    <w:rsid w:val="00EA7175"/>
    <w:rsid w:val="00EB06AB"/>
    <w:rsid w:val="00EB133C"/>
    <w:rsid w:val="00EB1AAC"/>
    <w:rsid w:val="00EB53A5"/>
    <w:rsid w:val="00EB772E"/>
    <w:rsid w:val="00EB79AD"/>
    <w:rsid w:val="00EC0479"/>
    <w:rsid w:val="00EC2334"/>
    <w:rsid w:val="00EC36F8"/>
    <w:rsid w:val="00EC445A"/>
    <w:rsid w:val="00EC51FC"/>
    <w:rsid w:val="00EC6522"/>
    <w:rsid w:val="00EC6D36"/>
    <w:rsid w:val="00ED1D33"/>
    <w:rsid w:val="00ED212E"/>
    <w:rsid w:val="00ED27A5"/>
    <w:rsid w:val="00ED56B1"/>
    <w:rsid w:val="00ED6E48"/>
    <w:rsid w:val="00ED7F59"/>
    <w:rsid w:val="00EE5CE3"/>
    <w:rsid w:val="00EF21D1"/>
    <w:rsid w:val="00EF33F5"/>
    <w:rsid w:val="00EF3950"/>
    <w:rsid w:val="00EF58F9"/>
    <w:rsid w:val="00EF5C6F"/>
    <w:rsid w:val="00EF63E6"/>
    <w:rsid w:val="00EF648D"/>
    <w:rsid w:val="00EF7336"/>
    <w:rsid w:val="00EF769E"/>
    <w:rsid w:val="00F008EE"/>
    <w:rsid w:val="00F014F0"/>
    <w:rsid w:val="00F027F8"/>
    <w:rsid w:val="00F0428D"/>
    <w:rsid w:val="00F0473A"/>
    <w:rsid w:val="00F04817"/>
    <w:rsid w:val="00F04F74"/>
    <w:rsid w:val="00F057B6"/>
    <w:rsid w:val="00F05945"/>
    <w:rsid w:val="00F05D96"/>
    <w:rsid w:val="00F065A8"/>
    <w:rsid w:val="00F075CF"/>
    <w:rsid w:val="00F11B13"/>
    <w:rsid w:val="00F12275"/>
    <w:rsid w:val="00F12536"/>
    <w:rsid w:val="00F12927"/>
    <w:rsid w:val="00F131AE"/>
    <w:rsid w:val="00F13C99"/>
    <w:rsid w:val="00F13E90"/>
    <w:rsid w:val="00F1491A"/>
    <w:rsid w:val="00F17BD9"/>
    <w:rsid w:val="00F22834"/>
    <w:rsid w:val="00F235E3"/>
    <w:rsid w:val="00F24358"/>
    <w:rsid w:val="00F247EA"/>
    <w:rsid w:val="00F32328"/>
    <w:rsid w:val="00F3273C"/>
    <w:rsid w:val="00F32902"/>
    <w:rsid w:val="00F32996"/>
    <w:rsid w:val="00F33177"/>
    <w:rsid w:val="00F356E8"/>
    <w:rsid w:val="00F37261"/>
    <w:rsid w:val="00F40C71"/>
    <w:rsid w:val="00F440C4"/>
    <w:rsid w:val="00F47A70"/>
    <w:rsid w:val="00F50134"/>
    <w:rsid w:val="00F517C3"/>
    <w:rsid w:val="00F53225"/>
    <w:rsid w:val="00F53CD8"/>
    <w:rsid w:val="00F56FAC"/>
    <w:rsid w:val="00F57082"/>
    <w:rsid w:val="00F570A5"/>
    <w:rsid w:val="00F57BDB"/>
    <w:rsid w:val="00F57F86"/>
    <w:rsid w:val="00F61A98"/>
    <w:rsid w:val="00F64931"/>
    <w:rsid w:val="00F65330"/>
    <w:rsid w:val="00F66683"/>
    <w:rsid w:val="00F67122"/>
    <w:rsid w:val="00F6790C"/>
    <w:rsid w:val="00F708C6"/>
    <w:rsid w:val="00F73387"/>
    <w:rsid w:val="00F75BA3"/>
    <w:rsid w:val="00F81F2C"/>
    <w:rsid w:val="00F830E8"/>
    <w:rsid w:val="00F831AD"/>
    <w:rsid w:val="00F83948"/>
    <w:rsid w:val="00F84C1C"/>
    <w:rsid w:val="00F84C29"/>
    <w:rsid w:val="00F86A56"/>
    <w:rsid w:val="00F87571"/>
    <w:rsid w:val="00F87FEB"/>
    <w:rsid w:val="00F91DF9"/>
    <w:rsid w:val="00F94AF7"/>
    <w:rsid w:val="00F95C09"/>
    <w:rsid w:val="00F96152"/>
    <w:rsid w:val="00FA2576"/>
    <w:rsid w:val="00FA28E2"/>
    <w:rsid w:val="00FA33CA"/>
    <w:rsid w:val="00FA4490"/>
    <w:rsid w:val="00FA56C0"/>
    <w:rsid w:val="00FB02A9"/>
    <w:rsid w:val="00FB0A76"/>
    <w:rsid w:val="00FB4BC6"/>
    <w:rsid w:val="00FB7967"/>
    <w:rsid w:val="00FB7BA5"/>
    <w:rsid w:val="00FB7E9B"/>
    <w:rsid w:val="00FC20D2"/>
    <w:rsid w:val="00FC23E7"/>
    <w:rsid w:val="00FC33F7"/>
    <w:rsid w:val="00FC4028"/>
    <w:rsid w:val="00FC4643"/>
    <w:rsid w:val="00FC7967"/>
    <w:rsid w:val="00FD1D0E"/>
    <w:rsid w:val="00FD323A"/>
    <w:rsid w:val="00FD528D"/>
    <w:rsid w:val="00FD67DD"/>
    <w:rsid w:val="00FE08BF"/>
    <w:rsid w:val="00FE0D30"/>
    <w:rsid w:val="00FE1549"/>
    <w:rsid w:val="00FE28F1"/>
    <w:rsid w:val="00FE2987"/>
    <w:rsid w:val="00FE30B8"/>
    <w:rsid w:val="00FE3C3A"/>
    <w:rsid w:val="00FE705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40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CE0F74"/>
    <w:rPr>
      <w:sz w:val="16"/>
      <w:szCs w:val="16"/>
    </w:rPr>
  </w:style>
  <w:style w:type="paragraph" w:styleId="Kommentartext">
    <w:name w:val="annotation text"/>
    <w:basedOn w:val="Standard"/>
    <w:link w:val="KommentartextZchn"/>
    <w:semiHidden/>
    <w:unhideWhenUsed/>
    <w:rsid w:val="00CE0F74"/>
    <w:rPr>
      <w:sz w:val="20"/>
    </w:rPr>
  </w:style>
  <w:style w:type="character" w:customStyle="1" w:styleId="KommentartextZchn">
    <w:name w:val="Kommentartext Zchn"/>
    <w:basedOn w:val="Absatz-Standardschriftart"/>
    <w:link w:val="Kommentartext"/>
    <w:semiHidden/>
    <w:rsid w:val="00CE0F74"/>
    <w:rPr>
      <w:lang w:val="en-US" w:eastAsia="en-US"/>
    </w:rPr>
  </w:style>
  <w:style w:type="paragraph" w:styleId="Kommentarthema">
    <w:name w:val="annotation subject"/>
    <w:basedOn w:val="Kommentartext"/>
    <w:next w:val="Kommentartext"/>
    <w:link w:val="KommentarthemaZchn"/>
    <w:semiHidden/>
    <w:unhideWhenUsed/>
    <w:rsid w:val="00CE0F74"/>
    <w:rPr>
      <w:b/>
      <w:bCs/>
    </w:rPr>
  </w:style>
  <w:style w:type="character" w:customStyle="1" w:styleId="KommentarthemaZchn">
    <w:name w:val="Kommentarthema Zchn"/>
    <w:basedOn w:val="KommentartextZchn"/>
    <w:link w:val="Kommentarthema"/>
    <w:semiHidden/>
    <w:rsid w:val="00CE0F74"/>
    <w:rPr>
      <w:b/>
      <w:bCs/>
      <w:lang w:val="en-US" w:eastAsia="en-US"/>
    </w:rPr>
  </w:style>
  <w:style w:type="paragraph" w:styleId="berarbeitung">
    <w:name w:val="Revision"/>
    <w:hidden/>
    <w:uiPriority w:val="99"/>
    <w:semiHidden/>
    <w:rsid w:val="00CE0F74"/>
    <w:rPr>
      <w:sz w:val="24"/>
      <w:lang w:eastAsia="en-US"/>
    </w:rPr>
  </w:style>
  <w:style w:type="table" w:styleId="Tabellenraster">
    <w:name w:val="Table Grid"/>
    <w:basedOn w:val="NormaleTabelle"/>
    <w:rsid w:val="0015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025">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648635412">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01E8-83CF-4E93-80DE-75D01EC8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2214</Words>
  <Characters>11821</Characters>
  <Application>Microsoft Office Word</Application>
  <DocSecurity>2</DocSecurity>
  <Lines>98</Lines>
  <Paragraphs>28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14007</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2023-02-13T08:59:00Z</dcterms:created>
  <dcterms:modified xsi:type="dcterms:W3CDTF">2023-02-13T14:18:00Z</dcterms:modified>
</cp:coreProperties>
</file>