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F5" w:rsidRPr="00841802" w:rsidRDefault="00C167F5" w:rsidP="00C51A14">
      <w:pPr>
        <w:tabs>
          <w:tab w:val="left" w:pos="9072"/>
        </w:tabs>
        <w:spacing w:line="300" w:lineRule="exact"/>
        <w:ind w:right="283"/>
        <w:jc w:val="both"/>
        <w:rPr>
          <w:rFonts w:ascii="CorpoS" w:hAnsi="CorpoS"/>
          <w:b/>
          <w:sz w:val="22"/>
          <w:szCs w:val="22"/>
          <w:lang w:val="de-DE"/>
        </w:rPr>
      </w:pPr>
      <w:r w:rsidRPr="00841802">
        <w:rPr>
          <w:rFonts w:ascii="CorpoS" w:hAnsi="CorpoS"/>
          <w:b/>
          <w:sz w:val="22"/>
          <w:szCs w:val="22"/>
          <w:lang w:val="de-DE"/>
        </w:rPr>
        <w:t xml:space="preserve">MTU Aero Engines legt Neun-Monats-Zahlen vor und </w:t>
      </w:r>
      <w:r w:rsidR="00AD571B" w:rsidRPr="00841802">
        <w:rPr>
          <w:rFonts w:ascii="CorpoS" w:hAnsi="CorpoS"/>
          <w:b/>
          <w:sz w:val="22"/>
          <w:szCs w:val="22"/>
          <w:lang w:val="de-DE"/>
        </w:rPr>
        <w:t>erhöht</w:t>
      </w:r>
      <w:r w:rsidRPr="00841802">
        <w:rPr>
          <w:rFonts w:ascii="CorpoS" w:hAnsi="CorpoS"/>
          <w:b/>
          <w:sz w:val="22"/>
          <w:szCs w:val="22"/>
          <w:lang w:val="de-DE"/>
        </w:rPr>
        <w:t xml:space="preserve"> Ergebnisprognose</w:t>
      </w:r>
    </w:p>
    <w:p w:rsidR="00AD571B" w:rsidRPr="00841802" w:rsidRDefault="00AD571B" w:rsidP="00AD571B">
      <w:pPr>
        <w:numPr>
          <w:ilvl w:val="0"/>
          <w:numId w:val="12"/>
        </w:numPr>
        <w:tabs>
          <w:tab w:val="left" w:pos="9072"/>
        </w:tabs>
        <w:spacing w:line="300" w:lineRule="exact"/>
        <w:ind w:right="283"/>
        <w:jc w:val="both"/>
        <w:rPr>
          <w:rFonts w:ascii="CorpoS" w:hAnsi="CorpoS"/>
          <w:b/>
          <w:sz w:val="22"/>
          <w:szCs w:val="22"/>
          <w:lang w:val="de-DE"/>
        </w:rPr>
      </w:pPr>
      <w:r w:rsidRPr="00841802">
        <w:rPr>
          <w:rFonts w:ascii="CorpoS" w:hAnsi="CorpoS"/>
          <w:b/>
          <w:sz w:val="22"/>
          <w:szCs w:val="22"/>
          <w:lang w:val="de-DE"/>
        </w:rPr>
        <w:t>Operatives Ergebnis soll rund 600 Mio. €, Gewinn nach Steuern rund 420 Mio. € erreichen</w:t>
      </w:r>
    </w:p>
    <w:p w:rsidR="00C167F5" w:rsidRPr="00841802" w:rsidRDefault="00C167F5" w:rsidP="00C167F5">
      <w:pPr>
        <w:numPr>
          <w:ilvl w:val="0"/>
          <w:numId w:val="12"/>
        </w:numPr>
        <w:tabs>
          <w:tab w:val="left" w:pos="9072"/>
        </w:tabs>
        <w:spacing w:line="300" w:lineRule="exact"/>
        <w:ind w:right="283"/>
        <w:jc w:val="both"/>
        <w:rPr>
          <w:rFonts w:ascii="CorpoS" w:hAnsi="CorpoS"/>
          <w:b/>
          <w:sz w:val="22"/>
          <w:szCs w:val="22"/>
          <w:lang w:val="de-DE"/>
        </w:rPr>
      </w:pPr>
      <w:r w:rsidRPr="00841802">
        <w:rPr>
          <w:rFonts w:ascii="CorpoS" w:hAnsi="CorpoS"/>
          <w:b/>
          <w:sz w:val="22"/>
          <w:szCs w:val="22"/>
          <w:lang w:val="de-DE"/>
        </w:rPr>
        <w:t xml:space="preserve">Umsatzausblick dollarkursbedingt auf rund </w:t>
      </w:r>
      <w:r w:rsidR="00841802">
        <w:rPr>
          <w:rFonts w:ascii="CorpoS" w:hAnsi="CorpoS"/>
          <w:b/>
          <w:sz w:val="22"/>
          <w:szCs w:val="22"/>
          <w:lang w:val="de-DE"/>
        </w:rPr>
        <w:t>5</w:t>
      </w:r>
      <w:r w:rsidRPr="00841802">
        <w:rPr>
          <w:rFonts w:ascii="CorpoS" w:hAnsi="CorpoS"/>
          <w:b/>
          <w:sz w:val="22"/>
          <w:szCs w:val="22"/>
          <w:lang w:val="de-DE"/>
        </w:rPr>
        <w:t>,</w:t>
      </w:r>
      <w:r w:rsidR="00841802">
        <w:rPr>
          <w:rFonts w:ascii="CorpoS" w:hAnsi="CorpoS"/>
          <w:b/>
          <w:sz w:val="22"/>
          <w:szCs w:val="22"/>
          <w:lang w:val="de-DE"/>
        </w:rPr>
        <w:t>1</w:t>
      </w:r>
      <w:r w:rsidRPr="00841802">
        <w:rPr>
          <w:rFonts w:ascii="CorpoS" w:hAnsi="CorpoS"/>
          <w:b/>
          <w:sz w:val="22"/>
          <w:szCs w:val="22"/>
          <w:lang w:val="de-DE"/>
        </w:rPr>
        <w:t xml:space="preserve"> Mrd. € angepasst</w:t>
      </w:r>
    </w:p>
    <w:p w:rsidR="00C51A14" w:rsidRPr="00056FE7" w:rsidRDefault="00C51A14" w:rsidP="00C51A14">
      <w:pPr>
        <w:tabs>
          <w:tab w:val="left" w:pos="9072"/>
        </w:tabs>
        <w:spacing w:line="300" w:lineRule="exact"/>
        <w:ind w:right="283"/>
        <w:jc w:val="both"/>
        <w:rPr>
          <w:rFonts w:ascii="CorpoS" w:hAnsi="CorpoS"/>
          <w:b/>
          <w:color w:val="FF0000"/>
          <w:sz w:val="22"/>
          <w:szCs w:val="22"/>
          <w:lang w:val="de-DE"/>
        </w:rPr>
      </w:pPr>
    </w:p>
    <w:p w:rsidR="00C51A14" w:rsidRPr="0065120E" w:rsidRDefault="00C51A14" w:rsidP="00C51A14">
      <w:pPr>
        <w:tabs>
          <w:tab w:val="left" w:pos="7655"/>
          <w:tab w:val="left" w:pos="9072"/>
        </w:tabs>
        <w:spacing w:line="300" w:lineRule="exact"/>
        <w:ind w:right="283"/>
        <w:jc w:val="both"/>
        <w:rPr>
          <w:rFonts w:ascii="CorpoS" w:hAnsi="CorpoS"/>
          <w:sz w:val="22"/>
          <w:szCs w:val="22"/>
          <w:lang w:val="de-DE"/>
        </w:rPr>
      </w:pPr>
      <w:r w:rsidRPr="00914C01">
        <w:rPr>
          <w:rFonts w:ascii="CorpoS" w:hAnsi="CorpoS"/>
          <w:sz w:val="22"/>
          <w:szCs w:val="22"/>
          <w:lang w:val="de-DE"/>
        </w:rPr>
        <w:t xml:space="preserve">München, </w:t>
      </w:r>
      <w:r w:rsidR="002C2460">
        <w:rPr>
          <w:rFonts w:ascii="CorpoS" w:hAnsi="CorpoS"/>
          <w:sz w:val="22"/>
          <w:szCs w:val="22"/>
          <w:lang w:val="de-DE"/>
        </w:rPr>
        <w:t>26</w:t>
      </w:r>
      <w:r w:rsidRPr="00914C01">
        <w:rPr>
          <w:rFonts w:ascii="CorpoS" w:hAnsi="CorpoS"/>
          <w:sz w:val="22"/>
          <w:szCs w:val="22"/>
          <w:lang w:val="de-DE"/>
        </w:rPr>
        <w:t xml:space="preserve">. </w:t>
      </w:r>
      <w:r w:rsidR="002C2460">
        <w:rPr>
          <w:rFonts w:ascii="CorpoS" w:hAnsi="CorpoS"/>
          <w:sz w:val="22"/>
          <w:szCs w:val="22"/>
          <w:lang w:val="de-DE"/>
        </w:rPr>
        <w:t>Oktober</w:t>
      </w:r>
      <w:r w:rsidRPr="00914C01">
        <w:rPr>
          <w:rFonts w:ascii="CorpoS" w:hAnsi="CorpoS"/>
          <w:sz w:val="22"/>
          <w:szCs w:val="22"/>
          <w:lang w:val="de-DE"/>
        </w:rPr>
        <w:t xml:space="preserve"> 201</w:t>
      </w:r>
      <w:r w:rsidR="0079305F">
        <w:rPr>
          <w:rFonts w:ascii="CorpoS" w:hAnsi="CorpoS"/>
          <w:sz w:val="22"/>
          <w:szCs w:val="22"/>
          <w:lang w:val="de-DE"/>
        </w:rPr>
        <w:t>7</w:t>
      </w:r>
      <w:r w:rsidRPr="00914C01">
        <w:rPr>
          <w:rFonts w:ascii="CorpoS" w:hAnsi="CorpoS"/>
          <w:sz w:val="22"/>
          <w:szCs w:val="22"/>
          <w:lang w:val="de-DE"/>
        </w:rPr>
        <w:t xml:space="preserve"> </w:t>
      </w:r>
      <w:r w:rsidRPr="0065120E">
        <w:rPr>
          <w:rFonts w:ascii="CorpoS" w:hAnsi="CorpoS"/>
          <w:sz w:val="22"/>
          <w:szCs w:val="22"/>
          <w:lang w:val="de-DE"/>
        </w:rPr>
        <w:t xml:space="preserve">– Die MTU Aero Engines AG hat </w:t>
      </w:r>
      <w:r w:rsidR="0065120E" w:rsidRPr="0065120E">
        <w:rPr>
          <w:rFonts w:ascii="CorpoS" w:hAnsi="CorpoS"/>
          <w:sz w:val="22"/>
          <w:szCs w:val="22"/>
          <w:lang w:val="de-DE"/>
        </w:rPr>
        <w:t>in den erste</w:t>
      </w:r>
      <w:r w:rsidR="009153DB">
        <w:rPr>
          <w:rFonts w:ascii="CorpoS" w:hAnsi="CorpoS"/>
          <w:sz w:val="22"/>
          <w:szCs w:val="22"/>
          <w:lang w:val="de-DE"/>
        </w:rPr>
        <w:t>n</w:t>
      </w:r>
      <w:r w:rsidR="0065120E" w:rsidRPr="0065120E">
        <w:rPr>
          <w:rFonts w:ascii="CorpoS" w:hAnsi="CorpoS"/>
          <w:sz w:val="22"/>
          <w:szCs w:val="22"/>
          <w:lang w:val="de-DE"/>
        </w:rPr>
        <w:t xml:space="preserve"> neun Monaten 2017 ein Umsatzplus von 10 % auf 3.745,4 Mio. € erwirtschaftet</w:t>
      </w:r>
      <w:r w:rsidR="00FD13FE" w:rsidRPr="0065120E">
        <w:rPr>
          <w:rFonts w:ascii="CorpoS" w:hAnsi="CorpoS"/>
          <w:sz w:val="22"/>
          <w:szCs w:val="22"/>
          <w:lang w:val="de-DE"/>
        </w:rPr>
        <w:t xml:space="preserve"> (1-</w:t>
      </w:r>
      <w:r w:rsidR="0065120E" w:rsidRPr="0065120E">
        <w:rPr>
          <w:rFonts w:ascii="CorpoS" w:hAnsi="CorpoS"/>
          <w:sz w:val="22"/>
          <w:szCs w:val="22"/>
          <w:lang w:val="de-DE"/>
        </w:rPr>
        <w:t>9</w:t>
      </w:r>
      <w:r w:rsidR="00FD13FE" w:rsidRPr="0065120E">
        <w:rPr>
          <w:rFonts w:ascii="CorpoS" w:hAnsi="CorpoS"/>
          <w:sz w:val="22"/>
          <w:szCs w:val="22"/>
          <w:lang w:val="de-DE"/>
        </w:rPr>
        <w:t>/201</w:t>
      </w:r>
      <w:r w:rsidR="0065120E" w:rsidRPr="0065120E">
        <w:rPr>
          <w:rFonts w:ascii="CorpoS" w:hAnsi="CorpoS"/>
          <w:sz w:val="22"/>
          <w:szCs w:val="22"/>
          <w:lang w:val="de-DE"/>
        </w:rPr>
        <w:t>6</w:t>
      </w:r>
      <w:r w:rsidR="00FD13FE" w:rsidRPr="0065120E">
        <w:rPr>
          <w:rFonts w:ascii="CorpoS" w:hAnsi="CorpoS"/>
          <w:sz w:val="22"/>
          <w:szCs w:val="22"/>
          <w:lang w:val="de-DE"/>
        </w:rPr>
        <w:t xml:space="preserve">: </w:t>
      </w:r>
      <w:r w:rsidR="0065120E" w:rsidRPr="0065120E">
        <w:rPr>
          <w:rFonts w:ascii="CorpoS" w:hAnsi="CorpoS"/>
          <w:sz w:val="22"/>
          <w:szCs w:val="22"/>
          <w:lang w:val="de-DE"/>
        </w:rPr>
        <w:t>3</w:t>
      </w:r>
      <w:r w:rsidR="00FD13FE" w:rsidRPr="0065120E">
        <w:rPr>
          <w:rFonts w:ascii="CorpoS" w:hAnsi="CorpoS"/>
          <w:sz w:val="22"/>
          <w:szCs w:val="22"/>
          <w:lang w:val="de-DE"/>
        </w:rPr>
        <w:t>.</w:t>
      </w:r>
      <w:r w:rsidR="0065120E" w:rsidRPr="0065120E">
        <w:rPr>
          <w:rFonts w:ascii="CorpoS" w:hAnsi="CorpoS"/>
          <w:sz w:val="22"/>
          <w:szCs w:val="22"/>
          <w:lang w:val="de-DE"/>
        </w:rPr>
        <w:t>401,3</w:t>
      </w:r>
      <w:r w:rsidR="00FD13FE" w:rsidRPr="0065120E">
        <w:rPr>
          <w:rFonts w:ascii="CorpoS" w:hAnsi="CorpoS"/>
          <w:sz w:val="22"/>
          <w:szCs w:val="22"/>
          <w:lang w:val="de-DE"/>
        </w:rPr>
        <w:t xml:space="preserve"> Mio. €). </w:t>
      </w:r>
      <w:r w:rsidR="0065120E" w:rsidRPr="0065120E">
        <w:rPr>
          <w:rFonts w:ascii="CorpoS" w:hAnsi="CorpoS"/>
          <w:sz w:val="22"/>
          <w:szCs w:val="22"/>
          <w:lang w:val="de-DE"/>
        </w:rPr>
        <w:t xml:space="preserve">Das </w:t>
      </w:r>
      <w:r w:rsidRPr="0065120E">
        <w:rPr>
          <w:rFonts w:ascii="CorpoS" w:hAnsi="CorpoS"/>
          <w:sz w:val="22"/>
          <w:szCs w:val="22"/>
          <w:lang w:val="de-DE"/>
        </w:rPr>
        <w:t>operative Ergebnis</w:t>
      </w:r>
      <w:r w:rsidRPr="0065120E">
        <w:rPr>
          <w:rStyle w:val="Funotenzeichen"/>
          <w:rFonts w:ascii="CorpoS" w:hAnsi="CorpoS"/>
          <w:b/>
          <w:sz w:val="22"/>
          <w:szCs w:val="22"/>
          <w:lang w:val="de-DE"/>
        </w:rPr>
        <w:footnoteReference w:id="1"/>
      </w:r>
      <w:r w:rsidR="0076577A" w:rsidRPr="0065120E">
        <w:rPr>
          <w:rFonts w:ascii="CorpoS" w:hAnsi="CorpoS"/>
          <w:sz w:val="22"/>
          <w:szCs w:val="22"/>
          <w:lang w:val="de-DE"/>
        </w:rPr>
        <w:t xml:space="preserve"> </w:t>
      </w:r>
      <w:r w:rsidR="0065120E" w:rsidRPr="0065120E">
        <w:rPr>
          <w:rFonts w:ascii="CorpoS" w:hAnsi="CorpoS"/>
          <w:sz w:val="22"/>
          <w:szCs w:val="22"/>
          <w:lang w:val="de-DE"/>
        </w:rPr>
        <w:t xml:space="preserve">nahm </w:t>
      </w:r>
      <w:r w:rsidRPr="0065120E">
        <w:rPr>
          <w:rFonts w:ascii="CorpoS" w:hAnsi="CorpoS"/>
          <w:sz w:val="22"/>
          <w:szCs w:val="22"/>
          <w:lang w:val="de-DE"/>
        </w:rPr>
        <w:t xml:space="preserve">um </w:t>
      </w:r>
      <w:r w:rsidR="0065120E" w:rsidRPr="0065120E">
        <w:rPr>
          <w:rFonts w:ascii="CorpoS" w:hAnsi="CorpoS"/>
          <w:sz w:val="22"/>
          <w:szCs w:val="22"/>
          <w:lang w:val="de-DE"/>
        </w:rPr>
        <w:t>14</w:t>
      </w:r>
      <w:r w:rsidRPr="0065120E">
        <w:rPr>
          <w:rFonts w:ascii="CorpoS" w:hAnsi="CorpoS"/>
          <w:sz w:val="22"/>
          <w:szCs w:val="22"/>
          <w:lang w:val="de-DE"/>
        </w:rPr>
        <w:t xml:space="preserve"> % </w:t>
      </w:r>
      <w:r w:rsidR="0065120E" w:rsidRPr="0065120E">
        <w:rPr>
          <w:rFonts w:ascii="CorpoS" w:hAnsi="CorpoS"/>
          <w:sz w:val="22"/>
          <w:szCs w:val="22"/>
          <w:lang w:val="de-DE"/>
        </w:rPr>
        <w:t xml:space="preserve">von 393,8 Mio. € auf 450,6 Mio. € zu. </w:t>
      </w:r>
      <w:r w:rsidR="00117AFF" w:rsidRPr="0065120E">
        <w:rPr>
          <w:rFonts w:ascii="CorpoS" w:hAnsi="CorpoS"/>
          <w:sz w:val="22"/>
          <w:szCs w:val="22"/>
          <w:lang w:val="de-DE"/>
        </w:rPr>
        <w:t xml:space="preserve">Damit </w:t>
      </w:r>
      <w:r w:rsidR="0065120E" w:rsidRPr="0065120E">
        <w:rPr>
          <w:rFonts w:ascii="CorpoS" w:hAnsi="CorpoS"/>
          <w:sz w:val="22"/>
          <w:szCs w:val="22"/>
          <w:lang w:val="de-DE"/>
        </w:rPr>
        <w:t xml:space="preserve">verbesserte sich die </w:t>
      </w:r>
      <w:r w:rsidRPr="0065120E">
        <w:rPr>
          <w:rFonts w:ascii="CorpoS" w:hAnsi="CorpoS"/>
          <w:sz w:val="22"/>
          <w:szCs w:val="22"/>
          <w:lang w:val="de-DE"/>
        </w:rPr>
        <w:t>Ergebni</w:t>
      </w:r>
      <w:r w:rsidRPr="0065120E">
        <w:rPr>
          <w:rFonts w:ascii="CorpoS" w:hAnsi="CorpoS"/>
          <w:sz w:val="22"/>
          <w:szCs w:val="22"/>
          <w:lang w:val="de-DE"/>
        </w:rPr>
        <w:t>s</w:t>
      </w:r>
      <w:r w:rsidRPr="0065120E">
        <w:rPr>
          <w:rFonts w:ascii="CorpoS" w:hAnsi="CorpoS"/>
          <w:sz w:val="22"/>
          <w:szCs w:val="22"/>
          <w:lang w:val="de-DE"/>
        </w:rPr>
        <w:t xml:space="preserve">marge </w:t>
      </w:r>
      <w:r w:rsidR="00117AFF" w:rsidRPr="0065120E">
        <w:rPr>
          <w:rFonts w:ascii="CorpoS" w:hAnsi="CorpoS"/>
          <w:sz w:val="22"/>
          <w:szCs w:val="22"/>
          <w:lang w:val="de-DE"/>
        </w:rPr>
        <w:t xml:space="preserve">von </w:t>
      </w:r>
      <w:r w:rsidR="00A93F50" w:rsidRPr="0065120E">
        <w:rPr>
          <w:rFonts w:ascii="CorpoS" w:hAnsi="CorpoS"/>
          <w:sz w:val="22"/>
          <w:szCs w:val="22"/>
          <w:lang w:val="de-DE"/>
        </w:rPr>
        <w:t>1</w:t>
      </w:r>
      <w:r w:rsidR="0065120E" w:rsidRPr="0065120E">
        <w:rPr>
          <w:rFonts w:ascii="CorpoS" w:hAnsi="CorpoS"/>
          <w:sz w:val="22"/>
          <w:szCs w:val="22"/>
          <w:lang w:val="de-DE"/>
        </w:rPr>
        <w:t>1</w:t>
      </w:r>
      <w:r w:rsidR="00FD13FE" w:rsidRPr="0065120E">
        <w:rPr>
          <w:rFonts w:ascii="CorpoS" w:hAnsi="CorpoS"/>
          <w:sz w:val="22"/>
          <w:szCs w:val="22"/>
          <w:lang w:val="de-DE"/>
        </w:rPr>
        <w:t>,</w:t>
      </w:r>
      <w:r w:rsidR="0065120E" w:rsidRPr="0065120E">
        <w:rPr>
          <w:rFonts w:ascii="CorpoS" w:hAnsi="CorpoS"/>
          <w:sz w:val="22"/>
          <w:szCs w:val="22"/>
          <w:lang w:val="de-DE"/>
        </w:rPr>
        <w:t>6</w:t>
      </w:r>
      <w:r w:rsidR="00117AFF" w:rsidRPr="0065120E">
        <w:rPr>
          <w:rFonts w:ascii="CorpoS" w:hAnsi="CorpoS"/>
          <w:sz w:val="22"/>
          <w:szCs w:val="22"/>
          <w:lang w:val="de-DE"/>
        </w:rPr>
        <w:t xml:space="preserve"> % auf 1</w:t>
      </w:r>
      <w:r w:rsidR="00FD13FE" w:rsidRPr="0065120E">
        <w:rPr>
          <w:rFonts w:ascii="CorpoS" w:hAnsi="CorpoS"/>
          <w:sz w:val="22"/>
          <w:szCs w:val="22"/>
          <w:lang w:val="de-DE"/>
        </w:rPr>
        <w:t>2,</w:t>
      </w:r>
      <w:r w:rsidR="0065120E" w:rsidRPr="0065120E">
        <w:rPr>
          <w:rFonts w:ascii="CorpoS" w:hAnsi="CorpoS"/>
          <w:sz w:val="22"/>
          <w:szCs w:val="22"/>
          <w:lang w:val="de-DE"/>
        </w:rPr>
        <w:t>0</w:t>
      </w:r>
      <w:r w:rsidR="00FD13FE" w:rsidRPr="0065120E">
        <w:rPr>
          <w:rFonts w:ascii="CorpoS" w:hAnsi="CorpoS"/>
          <w:sz w:val="22"/>
          <w:szCs w:val="22"/>
          <w:lang w:val="de-DE"/>
        </w:rPr>
        <w:t xml:space="preserve"> </w:t>
      </w:r>
      <w:r w:rsidR="00117AFF" w:rsidRPr="0065120E">
        <w:rPr>
          <w:rFonts w:ascii="CorpoS" w:hAnsi="CorpoS"/>
          <w:sz w:val="22"/>
          <w:szCs w:val="22"/>
          <w:lang w:val="de-DE"/>
        </w:rPr>
        <w:t>%. De</w:t>
      </w:r>
      <w:r w:rsidR="007730A7" w:rsidRPr="0065120E">
        <w:rPr>
          <w:rFonts w:ascii="CorpoS" w:hAnsi="CorpoS"/>
          <w:sz w:val="22"/>
          <w:szCs w:val="22"/>
          <w:lang w:val="de-DE"/>
        </w:rPr>
        <w:t xml:space="preserve">r </w:t>
      </w:r>
      <w:r w:rsidRPr="0065120E">
        <w:rPr>
          <w:rFonts w:ascii="CorpoS" w:hAnsi="CorpoS"/>
          <w:sz w:val="22"/>
          <w:szCs w:val="22"/>
          <w:lang w:val="de-DE"/>
        </w:rPr>
        <w:t>Gewinn nach Steuern</w:t>
      </w:r>
      <w:r w:rsidRPr="0065120E">
        <w:rPr>
          <w:rStyle w:val="Funotenzeichen"/>
          <w:rFonts w:ascii="CorpoS" w:hAnsi="CorpoS"/>
          <w:b/>
          <w:sz w:val="22"/>
          <w:szCs w:val="22"/>
          <w:lang w:val="de-DE"/>
        </w:rPr>
        <w:footnoteReference w:id="2"/>
      </w:r>
      <w:r w:rsidRPr="0065120E">
        <w:rPr>
          <w:rFonts w:ascii="CorpoS" w:hAnsi="CorpoS"/>
          <w:sz w:val="22"/>
          <w:szCs w:val="22"/>
          <w:lang w:val="de-DE"/>
        </w:rPr>
        <w:t xml:space="preserve"> </w:t>
      </w:r>
      <w:r w:rsidR="0065120E" w:rsidRPr="0065120E">
        <w:rPr>
          <w:rFonts w:ascii="CorpoS" w:hAnsi="CorpoS"/>
          <w:sz w:val="22"/>
          <w:szCs w:val="22"/>
          <w:lang w:val="de-DE"/>
        </w:rPr>
        <w:t>kletterte um 17 % auf 320,4 Mio. €</w:t>
      </w:r>
      <w:r w:rsidR="007730A7" w:rsidRPr="0065120E">
        <w:rPr>
          <w:rFonts w:ascii="CorpoS" w:hAnsi="CorpoS"/>
          <w:sz w:val="22"/>
          <w:szCs w:val="22"/>
          <w:lang w:val="de-DE"/>
        </w:rPr>
        <w:t xml:space="preserve"> </w:t>
      </w:r>
      <w:r w:rsidR="000E7E81">
        <w:rPr>
          <w:rFonts w:ascii="CorpoS" w:hAnsi="CorpoS"/>
          <w:sz w:val="22"/>
          <w:szCs w:val="22"/>
          <w:lang w:val="de-DE"/>
        </w:rPr>
        <w:br w:type="textWrapping" w:clear="all"/>
      </w:r>
      <w:r w:rsidRPr="0065120E">
        <w:rPr>
          <w:rFonts w:ascii="CorpoS" w:hAnsi="CorpoS"/>
          <w:sz w:val="22"/>
          <w:szCs w:val="22"/>
          <w:lang w:val="de-DE"/>
        </w:rPr>
        <w:t>(1-</w:t>
      </w:r>
      <w:r w:rsidR="0065120E" w:rsidRPr="0065120E">
        <w:rPr>
          <w:rFonts w:ascii="CorpoS" w:hAnsi="CorpoS"/>
          <w:sz w:val="22"/>
          <w:szCs w:val="22"/>
          <w:lang w:val="de-DE"/>
        </w:rPr>
        <w:t>9</w:t>
      </w:r>
      <w:r w:rsidRPr="0065120E">
        <w:rPr>
          <w:rFonts w:ascii="CorpoS" w:hAnsi="CorpoS"/>
          <w:sz w:val="22"/>
          <w:szCs w:val="22"/>
          <w:lang w:val="de-DE"/>
        </w:rPr>
        <w:t>/201</w:t>
      </w:r>
      <w:r w:rsidR="007730A7" w:rsidRPr="0065120E">
        <w:rPr>
          <w:rFonts w:ascii="CorpoS" w:hAnsi="CorpoS"/>
          <w:sz w:val="22"/>
          <w:szCs w:val="22"/>
          <w:lang w:val="de-DE"/>
        </w:rPr>
        <w:t>6</w:t>
      </w:r>
      <w:r w:rsidRPr="0065120E">
        <w:rPr>
          <w:rFonts w:ascii="CorpoS" w:hAnsi="CorpoS"/>
          <w:sz w:val="22"/>
          <w:szCs w:val="22"/>
          <w:lang w:val="de-DE"/>
        </w:rPr>
        <w:t xml:space="preserve">: </w:t>
      </w:r>
      <w:r w:rsidR="0065120E" w:rsidRPr="0065120E">
        <w:rPr>
          <w:rFonts w:ascii="CorpoS" w:hAnsi="CorpoS"/>
          <w:sz w:val="22"/>
          <w:szCs w:val="22"/>
          <w:lang w:val="de-DE"/>
        </w:rPr>
        <w:t>273,4</w:t>
      </w:r>
      <w:r w:rsidRPr="0065120E">
        <w:rPr>
          <w:rFonts w:ascii="CorpoS" w:hAnsi="CorpoS"/>
          <w:sz w:val="22"/>
          <w:szCs w:val="22"/>
          <w:lang w:val="de-DE"/>
        </w:rPr>
        <w:t xml:space="preserve"> Mio. €).</w:t>
      </w:r>
      <w:bookmarkStart w:id="0" w:name="_GoBack"/>
      <w:bookmarkEnd w:id="0"/>
    </w:p>
    <w:p w:rsidR="00C51A14" w:rsidRPr="0056031D" w:rsidRDefault="00C51A14" w:rsidP="00C51A14">
      <w:pPr>
        <w:tabs>
          <w:tab w:val="left" w:pos="7655"/>
          <w:tab w:val="left" w:pos="9072"/>
        </w:tabs>
        <w:spacing w:line="300" w:lineRule="exact"/>
        <w:ind w:right="283"/>
        <w:jc w:val="both"/>
        <w:rPr>
          <w:rFonts w:ascii="CorpoS" w:hAnsi="CorpoS"/>
          <w:sz w:val="22"/>
          <w:szCs w:val="22"/>
          <w:lang w:val="de-DE"/>
        </w:rPr>
      </w:pPr>
    </w:p>
    <w:p w:rsidR="00501E37" w:rsidRPr="00AD571B" w:rsidRDefault="00C51A14" w:rsidP="00501E37">
      <w:pPr>
        <w:tabs>
          <w:tab w:val="left" w:pos="7655"/>
          <w:tab w:val="left" w:pos="9072"/>
        </w:tabs>
        <w:spacing w:line="300" w:lineRule="exact"/>
        <w:ind w:right="283"/>
        <w:jc w:val="both"/>
        <w:rPr>
          <w:rFonts w:ascii="CorpoS" w:hAnsi="CorpoS"/>
          <w:sz w:val="22"/>
          <w:szCs w:val="22"/>
          <w:lang w:val="de-DE"/>
        </w:rPr>
      </w:pPr>
      <w:r w:rsidRPr="0056031D">
        <w:rPr>
          <w:rFonts w:ascii="CorpoS" w:hAnsi="CorpoS"/>
          <w:sz w:val="22"/>
          <w:szCs w:val="22"/>
          <w:lang w:val="de-DE"/>
        </w:rPr>
        <w:t>„</w:t>
      </w:r>
      <w:r w:rsidR="00AD571B">
        <w:rPr>
          <w:rFonts w:ascii="CorpoS" w:hAnsi="CorpoS"/>
          <w:sz w:val="22"/>
          <w:szCs w:val="22"/>
          <w:lang w:val="de-DE"/>
        </w:rPr>
        <w:t xml:space="preserve">Basierend auf diesen </w:t>
      </w:r>
      <w:r w:rsidR="0056031D" w:rsidRPr="0056031D">
        <w:rPr>
          <w:rFonts w:ascii="CorpoS" w:hAnsi="CorpoS"/>
          <w:sz w:val="22"/>
          <w:szCs w:val="22"/>
          <w:lang w:val="de-DE"/>
        </w:rPr>
        <w:t xml:space="preserve">Kennzahlen </w:t>
      </w:r>
      <w:r w:rsidR="00AD571B">
        <w:rPr>
          <w:rFonts w:ascii="CorpoS" w:hAnsi="CorpoS"/>
          <w:sz w:val="22"/>
          <w:szCs w:val="22"/>
          <w:lang w:val="de-DE"/>
        </w:rPr>
        <w:t xml:space="preserve">und </w:t>
      </w:r>
      <w:r w:rsidR="0001206F">
        <w:rPr>
          <w:rFonts w:ascii="CorpoS" w:hAnsi="CorpoS"/>
          <w:sz w:val="22"/>
          <w:szCs w:val="22"/>
          <w:lang w:val="de-DE"/>
        </w:rPr>
        <w:t>den positiven E</w:t>
      </w:r>
      <w:r w:rsidR="00937D4C">
        <w:rPr>
          <w:rFonts w:ascii="CorpoS" w:hAnsi="CorpoS"/>
          <w:sz w:val="22"/>
          <w:szCs w:val="22"/>
          <w:lang w:val="de-DE"/>
        </w:rPr>
        <w:t>r</w:t>
      </w:r>
      <w:r w:rsidR="0001206F">
        <w:rPr>
          <w:rFonts w:ascii="CorpoS" w:hAnsi="CorpoS"/>
          <w:sz w:val="22"/>
          <w:szCs w:val="22"/>
          <w:lang w:val="de-DE"/>
        </w:rPr>
        <w:t xml:space="preserve">gebniseffekten, die wir </w:t>
      </w:r>
      <w:r w:rsidR="00DE7C93">
        <w:rPr>
          <w:rFonts w:ascii="CorpoS" w:hAnsi="CorpoS"/>
          <w:sz w:val="22"/>
          <w:szCs w:val="22"/>
          <w:lang w:val="de-DE"/>
        </w:rPr>
        <w:t xml:space="preserve">nun </w:t>
      </w:r>
      <w:r w:rsidR="0001206F">
        <w:rPr>
          <w:rFonts w:ascii="CorpoS" w:hAnsi="CorpoS"/>
          <w:sz w:val="22"/>
          <w:szCs w:val="22"/>
          <w:lang w:val="de-DE"/>
        </w:rPr>
        <w:t>aus dem Produk</w:t>
      </w:r>
      <w:r w:rsidR="0001206F">
        <w:rPr>
          <w:rFonts w:ascii="CorpoS" w:hAnsi="CorpoS"/>
          <w:sz w:val="22"/>
          <w:szCs w:val="22"/>
          <w:lang w:val="de-DE"/>
        </w:rPr>
        <w:t>t</w:t>
      </w:r>
      <w:r w:rsidR="0001206F">
        <w:rPr>
          <w:rFonts w:ascii="CorpoS" w:hAnsi="CorpoS"/>
          <w:sz w:val="22"/>
          <w:szCs w:val="22"/>
          <w:lang w:val="de-DE"/>
        </w:rPr>
        <w:t>mix erwarten,</w:t>
      </w:r>
      <w:r w:rsidR="00AD571B">
        <w:rPr>
          <w:rFonts w:ascii="CorpoS" w:hAnsi="CorpoS"/>
          <w:sz w:val="22"/>
          <w:szCs w:val="22"/>
          <w:lang w:val="de-DE"/>
        </w:rPr>
        <w:t xml:space="preserve"> können wir unsere Ergebnisprognose heute anheben</w:t>
      </w:r>
      <w:r w:rsidR="00B86EB1" w:rsidRPr="0056031D">
        <w:rPr>
          <w:rFonts w:ascii="CorpoS" w:hAnsi="CorpoS"/>
          <w:sz w:val="22"/>
          <w:szCs w:val="22"/>
          <w:lang w:val="de-DE"/>
        </w:rPr>
        <w:t xml:space="preserve">“, </w:t>
      </w:r>
      <w:r w:rsidR="00050992" w:rsidRPr="0056031D">
        <w:rPr>
          <w:rFonts w:ascii="CorpoS" w:hAnsi="CorpoS"/>
          <w:sz w:val="22"/>
          <w:szCs w:val="22"/>
          <w:lang w:val="de-DE"/>
        </w:rPr>
        <w:t>sagte Reiner Winkler, Vorstand</w:t>
      </w:r>
      <w:r w:rsidR="00050992" w:rsidRPr="0056031D">
        <w:rPr>
          <w:rFonts w:ascii="CorpoS" w:hAnsi="CorpoS"/>
          <w:sz w:val="22"/>
          <w:szCs w:val="22"/>
          <w:lang w:val="de-DE"/>
        </w:rPr>
        <w:t>s</w:t>
      </w:r>
      <w:r w:rsidR="00050992" w:rsidRPr="0056031D">
        <w:rPr>
          <w:rFonts w:ascii="CorpoS" w:hAnsi="CorpoS"/>
          <w:sz w:val="22"/>
          <w:szCs w:val="22"/>
          <w:lang w:val="de-DE"/>
        </w:rPr>
        <w:t xml:space="preserve">vorsitzender der MTU Aero Engines AG. </w:t>
      </w:r>
      <w:r w:rsidR="00FE5617" w:rsidRPr="0056031D">
        <w:rPr>
          <w:rFonts w:ascii="CorpoS" w:hAnsi="CorpoS"/>
          <w:sz w:val="22"/>
          <w:szCs w:val="22"/>
          <w:lang w:val="de-DE"/>
        </w:rPr>
        <w:t>„</w:t>
      </w:r>
      <w:r w:rsidR="00AD571B">
        <w:rPr>
          <w:rFonts w:ascii="CorpoS" w:hAnsi="CorpoS"/>
          <w:sz w:val="22"/>
          <w:szCs w:val="22"/>
          <w:lang w:val="de-DE"/>
        </w:rPr>
        <w:t>Wir rechnen für das Gesamtjahr jetzt mit einem operativen Ergebnis von rund 600 Mio. € und mit einem Gewinn von etwa 420 Mio. €</w:t>
      </w:r>
      <w:r w:rsidR="0056031D" w:rsidRPr="0056031D">
        <w:rPr>
          <w:rFonts w:ascii="CorpoS" w:hAnsi="CorpoS"/>
          <w:sz w:val="22"/>
          <w:szCs w:val="22"/>
          <w:lang w:val="de-DE"/>
        </w:rPr>
        <w:t>.</w:t>
      </w:r>
      <w:r w:rsidR="00FE5617" w:rsidRPr="0056031D">
        <w:rPr>
          <w:rFonts w:ascii="CorpoS" w:hAnsi="CorpoS"/>
          <w:sz w:val="22"/>
          <w:szCs w:val="22"/>
          <w:lang w:val="de-DE"/>
        </w:rPr>
        <w:t>“</w:t>
      </w:r>
      <w:r w:rsidR="00AD571B">
        <w:rPr>
          <w:rFonts w:ascii="CorpoS" w:hAnsi="CorpoS"/>
          <w:sz w:val="22"/>
          <w:szCs w:val="22"/>
          <w:lang w:val="de-DE"/>
        </w:rPr>
        <w:t xml:space="preserve"> Bisher war die MTU von einem operativen Ergebnis in Höhe von etwa 560 Mio. € </w:t>
      </w:r>
      <w:r w:rsidR="00AD571B" w:rsidRPr="00AD571B">
        <w:rPr>
          <w:rFonts w:ascii="CorpoS" w:eastAsia="SimSun" w:hAnsi="CorpoS"/>
          <w:sz w:val="22"/>
          <w:szCs w:val="22"/>
          <w:lang w:val="de-DE" w:eastAsia="zh-CN"/>
        </w:rPr>
        <w:t>(EBIT bereinigt, 2016: 503,0 Mio. €)</w:t>
      </w:r>
      <w:r w:rsidR="00584FA3">
        <w:rPr>
          <w:rFonts w:ascii="CorpoS" w:eastAsia="SimSun" w:hAnsi="CorpoS"/>
          <w:sz w:val="22"/>
          <w:szCs w:val="22"/>
          <w:lang w:val="de-DE" w:eastAsia="zh-CN"/>
        </w:rPr>
        <w:t xml:space="preserve"> und </w:t>
      </w:r>
      <w:r w:rsidR="000E7E81">
        <w:rPr>
          <w:rFonts w:ascii="CorpoS" w:eastAsia="SimSun" w:hAnsi="CorpoS"/>
          <w:sz w:val="22"/>
          <w:szCs w:val="22"/>
          <w:lang w:val="de-DE" w:eastAsia="zh-CN"/>
        </w:rPr>
        <w:br w:type="textWrapping" w:clear="all"/>
      </w:r>
      <w:r w:rsidR="00584FA3">
        <w:rPr>
          <w:rFonts w:ascii="CorpoS" w:eastAsia="SimSun" w:hAnsi="CorpoS"/>
          <w:sz w:val="22"/>
          <w:szCs w:val="22"/>
          <w:lang w:val="de-DE" w:eastAsia="zh-CN"/>
        </w:rPr>
        <w:t>einem</w:t>
      </w:r>
      <w:r w:rsidR="00AD571B">
        <w:rPr>
          <w:rFonts w:ascii="CorpoS" w:eastAsia="SimSun" w:hAnsi="CorpoS"/>
          <w:sz w:val="22"/>
          <w:szCs w:val="22"/>
          <w:lang w:val="de-DE" w:eastAsia="zh-CN"/>
        </w:rPr>
        <w:t xml:space="preserve"> Gewinn nach Steuern </w:t>
      </w:r>
      <w:r w:rsidR="00584FA3">
        <w:rPr>
          <w:rFonts w:ascii="CorpoS" w:eastAsia="SimSun" w:hAnsi="CorpoS"/>
          <w:sz w:val="22"/>
          <w:szCs w:val="22"/>
          <w:lang w:val="de-DE" w:eastAsia="zh-CN"/>
        </w:rPr>
        <w:t>von</w:t>
      </w:r>
      <w:r w:rsidR="00AD571B">
        <w:rPr>
          <w:rFonts w:ascii="CorpoS" w:eastAsia="SimSun" w:hAnsi="CorpoS"/>
          <w:sz w:val="22"/>
          <w:szCs w:val="22"/>
          <w:lang w:val="de-DE" w:eastAsia="zh-CN"/>
        </w:rPr>
        <w:t xml:space="preserve"> rund 390 Mio. € </w:t>
      </w:r>
      <w:r w:rsidR="00584FA3">
        <w:rPr>
          <w:rFonts w:ascii="CorpoS" w:eastAsia="SimSun" w:hAnsi="CorpoS"/>
          <w:sz w:val="22"/>
          <w:szCs w:val="22"/>
          <w:lang w:val="de-DE" w:eastAsia="zh-CN"/>
        </w:rPr>
        <w:t>ausgegangen</w:t>
      </w:r>
      <w:r w:rsidR="00AD571B" w:rsidRPr="00AD571B">
        <w:rPr>
          <w:rFonts w:ascii="CorpoS" w:eastAsia="SimSun" w:hAnsi="CorpoS"/>
          <w:sz w:val="22"/>
          <w:szCs w:val="22"/>
          <w:lang w:val="de-DE" w:eastAsia="zh-CN"/>
        </w:rPr>
        <w:t xml:space="preserve"> (Net Income bereinigt, 2016: </w:t>
      </w:r>
      <w:r w:rsidR="000E7E81">
        <w:rPr>
          <w:rFonts w:ascii="CorpoS" w:eastAsia="SimSun" w:hAnsi="CorpoS"/>
          <w:sz w:val="22"/>
          <w:szCs w:val="22"/>
          <w:lang w:val="de-DE" w:eastAsia="zh-CN"/>
        </w:rPr>
        <w:br w:type="textWrapping" w:clear="all"/>
      </w:r>
      <w:r w:rsidR="00AD571B" w:rsidRPr="00AD571B">
        <w:rPr>
          <w:rFonts w:ascii="CorpoS" w:eastAsia="SimSun" w:hAnsi="CorpoS"/>
          <w:sz w:val="22"/>
          <w:szCs w:val="22"/>
          <w:lang w:val="de-DE" w:eastAsia="zh-CN"/>
        </w:rPr>
        <w:t>345,4 Mio. €)</w:t>
      </w:r>
      <w:r w:rsidR="00AD571B" w:rsidRPr="00AD571B">
        <w:rPr>
          <w:rFonts w:ascii="CorpoS" w:hAnsi="CorpoS"/>
          <w:sz w:val="22"/>
          <w:szCs w:val="22"/>
          <w:lang w:val="de-DE"/>
        </w:rPr>
        <w:t xml:space="preserve">. </w:t>
      </w:r>
      <w:r w:rsidR="00826963" w:rsidRPr="00AD571B">
        <w:rPr>
          <w:rFonts w:ascii="CorpoS" w:hAnsi="CorpoS"/>
          <w:sz w:val="22"/>
          <w:szCs w:val="22"/>
          <w:lang w:val="de-DE"/>
        </w:rPr>
        <w:t>D</w:t>
      </w:r>
      <w:r w:rsidR="00E24A90" w:rsidRPr="00AD571B">
        <w:rPr>
          <w:rFonts w:ascii="CorpoS" w:hAnsi="CorpoS"/>
          <w:sz w:val="22"/>
          <w:szCs w:val="22"/>
          <w:lang w:val="de-DE"/>
        </w:rPr>
        <w:t>i</w:t>
      </w:r>
      <w:r w:rsidR="00826963" w:rsidRPr="00AD571B">
        <w:rPr>
          <w:rFonts w:ascii="CorpoS" w:hAnsi="CorpoS"/>
          <w:sz w:val="22"/>
          <w:szCs w:val="22"/>
          <w:lang w:val="de-DE"/>
        </w:rPr>
        <w:t>e Umsatz</w:t>
      </w:r>
      <w:r w:rsidR="00E24A90" w:rsidRPr="00AD571B">
        <w:rPr>
          <w:rFonts w:ascii="CorpoS" w:hAnsi="CorpoS"/>
          <w:sz w:val="22"/>
          <w:szCs w:val="22"/>
          <w:lang w:val="de-DE"/>
        </w:rPr>
        <w:t>erwartung</w:t>
      </w:r>
      <w:r w:rsidR="00826963" w:rsidRPr="00AD571B">
        <w:rPr>
          <w:rFonts w:ascii="CorpoS" w:hAnsi="CorpoS"/>
          <w:sz w:val="22"/>
          <w:szCs w:val="22"/>
          <w:lang w:val="de-DE"/>
        </w:rPr>
        <w:t xml:space="preserve"> gleich</w:t>
      </w:r>
      <w:r w:rsidR="00990DAF" w:rsidRPr="00AD571B">
        <w:rPr>
          <w:rFonts w:ascii="CorpoS" w:hAnsi="CorpoS"/>
          <w:sz w:val="22"/>
          <w:szCs w:val="22"/>
          <w:lang w:val="de-DE"/>
        </w:rPr>
        <w:t xml:space="preserve">t die MTU </w:t>
      </w:r>
      <w:r w:rsidR="002C288B" w:rsidRPr="00AD571B">
        <w:rPr>
          <w:rFonts w:ascii="CorpoS" w:hAnsi="CorpoS"/>
          <w:sz w:val="22"/>
          <w:szCs w:val="22"/>
          <w:lang w:val="de-DE"/>
        </w:rPr>
        <w:t>wechselkursbedingt</w:t>
      </w:r>
      <w:r w:rsidR="00826963" w:rsidRPr="00AD571B">
        <w:rPr>
          <w:rFonts w:ascii="CorpoS" w:hAnsi="CorpoS"/>
          <w:sz w:val="22"/>
          <w:szCs w:val="22"/>
          <w:lang w:val="de-DE"/>
        </w:rPr>
        <w:t xml:space="preserve"> an</w:t>
      </w:r>
      <w:r w:rsidR="00990DAF" w:rsidRPr="00AD571B">
        <w:rPr>
          <w:rFonts w:ascii="CorpoS" w:hAnsi="CorpoS"/>
          <w:sz w:val="22"/>
          <w:szCs w:val="22"/>
          <w:lang w:val="de-DE"/>
        </w:rPr>
        <w:t xml:space="preserve"> und </w:t>
      </w:r>
      <w:r w:rsidR="00A0666F">
        <w:rPr>
          <w:rFonts w:ascii="CorpoS" w:hAnsi="CorpoS"/>
          <w:sz w:val="22"/>
          <w:szCs w:val="22"/>
          <w:lang w:val="de-DE"/>
        </w:rPr>
        <w:t>erwartet</w:t>
      </w:r>
      <w:r w:rsidR="00990DAF" w:rsidRPr="00AD571B">
        <w:rPr>
          <w:rFonts w:ascii="CorpoS" w:hAnsi="CorpoS"/>
          <w:sz w:val="22"/>
          <w:szCs w:val="22"/>
          <w:lang w:val="de-DE"/>
        </w:rPr>
        <w:t xml:space="preserve"> jetzt </w:t>
      </w:r>
      <w:r w:rsidR="002C288B" w:rsidRPr="00AD571B">
        <w:rPr>
          <w:rFonts w:ascii="CorpoS" w:hAnsi="CorpoS"/>
          <w:sz w:val="22"/>
          <w:szCs w:val="22"/>
          <w:lang w:val="de-DE"/>
        </w:rPr>
        <w:t>rund</w:t>
      </w:r>
      <w:r w:rsidR="00045694" w:rsidRPr="00AD571B">
        <w:rPr>
          <w:rFonts w:ascii="CorpoS" w:hAnsi="CorpoS"/>
          <w:sz w:val="22"/>
          <w:szCs w:val="22"/>
          <w:lang w:val="de-DE"/>
        </w:rPr>
        <w:t xml:space="preserve"> 5</w:t>
      </w:r>
      <w:r w:rsidR="00826963" w:rsidRPr="00AD571B">
        <w:rPr>
          <w:rFonts w:ascii="CorpoS" w:hAnsi="CorpoS"/>
          <w:sz w:val="22"/>
          <w:szCs w:val="22"/>
          <w:lang w:val="de-DE"/>
        </w:rPr>
        <w:t>,</w:t>
      </w:r>
      <w:r w:rsidR="00AD571B" w:rsidRPr="00AD571B">
        <w:rPr>
          <w:rFonts w:ascii="CorpoS" w:hAnsi="CorpoS"/>
          <w:sz w:val="22"/>
          <w:szCs w:val="22"/>
          <w:lang w:val="de-DE"/>
        </w:rPr>
        <w:t>1</w:t>
      </w:r>
      <w:r w:rsidR="00826963" w:rsidRPr="00AD571B">
        <w:rPr>
          <w:rFonts w:ascii="CorpoS" w:hAnsi="CorpoS"/>
          <w:sz w:val="22"/>
          <w:szCs w:val="22"/>
          <w:lang w:val="de-DE"/>
        </w:rPr>
        <w:t xml:space="preserve"> Mrd. € </w:t>
      </w:r>
      <w:r w:rsidR="002C288B" w:rsidRPr="00AD571B">
        <w:rPr>
          <w:rFonts w:ascii="CorpoS" w:hAnsi="CorpoS"/>
          <w:sz w:val="22"/>
          <w:szCs w:val="22"/>
          <w:lang w:val="de-DE"/>
        </w:rPr>
        <w:t>anstelle von</w:t>
      </w:r>
      <w:r w:rsidR="00C921BA" w:rsidRPr="00AD571B">
        <w:rPr>
          <w:rFonts w:ascii="CorpoS" w:hAnsi="CorpoS"/>
          <w:sz w:val="22"/>
          <w:szCs w:val="22"/>
          <w:lang w:val="de-DE"/>
        </w:rPr>
        <w:t xml:space="preserve"> e</w:t>
      </w:r>
      <w:r w:rsidR="00990DAF" w:rsidRPr="00AD571B">
        <w:rPr>
          <w:rFonts w:ascii="CorpoS" w:hAnsi="CorpoS"/>
          <w:sz w:val="22"/>
          <w:szCs w:val="22"/>
          <w:lang w:val="de-DE"/>
        </w:rPr>
        <w:t>twa</w:t>
      </w:r>
      <w:r w:rsidR="006D6B21" w:rsidRPr="00AD571B">
        <w:rPr>
          <w:rFonts w:ascii="CorpoS" w:hAnsi="CorpoS"/>
          <w:sz w:val="22"/>
          <w:szCs w:val="22"/>
          <w:lang w:val="de-DE"/>
        </w:rPr>
        <w:t xml:space="preserve"> 5,3 Mrd. €</w:t>
      </w:r>
      <w:r w:rsidR="002451C6" w:rsidRPr="00AD571B">
        <w:rPr>
          <w:rFonts w:ascii="CorpoS" w:hAnsi="CorpoS"/>
          <w:sz w:val="22"/>
          <w:szCs w:val="22"/>
          <w:lang w:val="de-DE"/>
        </w:rPr>
        <w:t xml:space="preserve"> </w:t>
      </w:r>
      <w:r w:rsidR="002C288B" w:rsidRPr="00AD571B">
        <w:rPr>
          <w:rFonts w:ascii="CorpoS" w:hAnsi="CorpoS"/>
          <w:sz w:val="22"/>
          <w:szCs w:val="22"/>
          <w:lang w:val="de-DE"/>
        </w:rPr>
        <w:t xml:space="preserve">Umsatz </w:t>
      </w:r>
      <w:r w:rsidR="002451C6" w:rsidRPr="00AD571B">
        <w:rPr>
          <w:rFonts w:ascii="CorpoS" w:eastAsia="SimSun" w:hAnsi="CorpoS"/>
          <w:sz w:val="22"/>
          <w:szCs w:val="22"/>
          <w:lang w:val="de-DE" w:eastAsia="zh-CN"/>
        </w:rPr>
        <w:t>(2016: 4.732,7 Mio. €)</w:t>
      </w:r>
      <w:r w:rsidR="006D6B21" w:rsidRPr="00AD571B">
        <w:rPr>
          <w:rFonts w:ascii="CorpoS" w:hAnsi="CorpoS"/>
          <w:sz w:val="22"/>
          <w:szCs w:val="22"/>
          <w:lang w:val="de-DE"/>
        </w:rPr>
        <w:t>.</w:t>
      </w:r>
    </w:p>
    <w:p w:rsidR="007730A7" w:rsidRPr="0056031D" w:rsidRDefault="007730A7" w:rsidP="00C51A14">
      <w:pPr>
        <w:tabs>
          <w:tab w:val="left" w:pos="7655"/>
          <w:tab w:val="left" w:pos="9072"/>
        </w:tabs>
        <w:spacing w:line="300" w:lineRule="exact"/>
        <w:ind w:right="283"/>
        <w:jc w:val="both"/>
        <w:rPr>
          <w:rFonts w:ascii="CorpoS" w:hAnsi="CorpoS"/>
          <w:sz w:val="22"/>
          <w:szCs w:val="22"/>
          <w:lang w:val="de-DE"/>
        </w:rPr>
      </w:pPr>
    </w:p>
    <w:p w:rsidR="00C51A14" w:rsidRPr="00096329" w:rsidRDefault="00F57E3F" w:rsidP="00C51A14">
      <w:pPr>
        <w:spacing w:line="300" w:lineRule="exact"/>
        <w:ind w:right="283"/>
        <w:jc w:val="both"/>
        <w:rPr>
          <w:rFonts w:ascii="CorpoS" w:hAnsi="CorpoS"/>
          <w:sz w:val="22"/>
          <w:szCs w:val="22"/>
          <w:lang w:val="de-DE"/>
        </w:rPr>
      </w:pPr>
      <w:r w:rsidRPr="0056031D">
        <w:rPr>
          <w:rFonts w:ascii="CorpoS" w:hAnsi="CorpoS"/>
          <w:sz w:val="22"/>
          <w:szCs w:val="22"/>
          <w:lang w:val="de-DE"/>
        </w:rPr>
        <w:t xml:space="preserve">In den ersten neun Monaten erzielte die </w:t>
      </w:r>
      <w:r w:rsidR="00096329" w:rsidRPr="0056031D">
        <w:rPr>
          <w:rFonts w:ascii="CorpoS" w:hAnsi="CorpoS"/>
          <w:sz w:val="22"/>
          <w:szCs w:val="22"/>
          <w:lang w:val="de-DE"/>
        </w:rPr>
        <w:t>zivile Instandhaltung</w:t>
      </w:r>
      <w:r w:rsidRPr="0056031D">
        <w:rPr>
          <w:rFonts w:ascii="CorpoS" w:hAnsi="CorpoS"/>
          <w:sz w:val="22"/>
          <w:szCs w:val="22"/>
          <w:lang w:val="de-DE"/>
        </w:rPr>
        <w:t xml:space="preserve"> das höchste Umsatzplus</w:t>
      </w:r>
      <w:r w:rsidR="00096329" w:rsidRPr="0056031D">
        <w:rPr>
          <w:rFonts w:ascii="CorpoS" w:hAnsi="CorpoS"/>
          <w:sz w:val="22"/>
          <w:szCs w:val="22"/>
          <w:lang w:val="de-DE"/>
        </w:rPr>
        <w:t>: H</w:t>
      </w:r>
      <w:r w:rsidR="00290B6D" w:rsidRPr="0056031D">
        <w:rPr>
          <w:rFonts w:ascii="CorpoS" w:hAnsi="CorpoS"/>
          <w:sz w:val="22"/>
          <w:szCs w:val="22"/>
          <w:lang w:val="de-DE"/>
        </w:rPr>
        <w:t xml:space="preserve">ier </w:t>
      </w:r>
      <w:r w:rsidR="00096329" w:rsidRPr="0056031D">
        <w:rPr>
          <w:rFonts w:ascii="CorpoS" w:hAnsi="CorpoS"/>
          <w:sz w:val="22"/>
          <w:szCs w:val="22"/>
          <w:lang w:val="de-DE"/>
        </w:rPr>
        <w:t xml:space="preserve">stieg </w:t>
      </w:r>
      <w:r w:rsidR="00290B6D" w:rsidRPr="0056031D">
        <w:rPr>
          <w:rFonts w:ascii="CorpoS" w:hAnsi="CorpoS"/>
          <w:sz w:val="22"/>
          <w:szCs w:val="22"/>
          <w:lang w:val="de-DE"/>
        </w:rPr>
        <w:t xml:space="preserve">der </w:t>
      </w:r>
      <w:r w:rsidR="00290B6D" w:rsidRPr="00096329">
        <w:rPr>
          <w:rFonts w:ascii="CorpoS" w:hAnsi="CorpoS"/>
          <w:sz w:val="22"/>
          <w:szCs w:val="22"/>
          <w:lang w:val="de-DE"/>
        </w:rPr>
        <w:t xml:space="preserve">Umsatz um </w:t>
      </w:r>
      <w:r w:rsidR="00096329" w:rsidRPr="00096329">
        <w:rPr>
          <w:rFonts w:ascii="CorpoS" w:hAnsi="CorpoS"/>
          <w:sz w:val="22"/>
          <w:szCs w:val="22"/>
          <w:lang w:val="de-DE"/>
        </w:rPr>
        <w:t>26</w:t>
      </w:r>
      <w:r w:rsidR="00290B6D" w:rsidRPr="00096329">
        <w:rPr>
          <w:rFonts w:ascii="CorpoS" w:hAnsi="CorpoS"/>
          <w:sz w:val="22"/>
          <w:szCs w:val="22"/>
          <w:lang w:val="de-DE"/>
        </w:rPr>
        <w:t xml:space="preserve"> % </w:t>
      </w:r>
      <w:r w:rsidR="00096329" w:rsidRPr="00096329">
        <w:rPr>
          <w:rFonts w:ascii="CorpoS" w:hAnsi="CorpoS"/>
          <w:sz w:val="22"/>
          <w:szCs w:val="22"/>
          <w:lang w:val="de-DE"/>
        </w:rPr>
        <w:t xml:space="preserve">von 1.368,3 Mio. € </w:t>
      </w:r>
      <w:r w:rsidR="00290B6D" w:rsidRPr="00096329">
        <w:rPr>
          <w:rFonts w:ascii="CorpoS" w:hAnsi="CorpoS"/>
          <w:sz w:val="22"/>
          <w:szCs w:val="22"/>
          <w:lang w:val="de-DE"/>
        </w:rPr>
        <w:t xml:space="preserve">auf </w:t>
      </w:r>
      <w:r w:rsidR="00096329" w:rsidRPr="00096329">
        <w:rPr>
          <w:rFonts w:ascii="CorpoS" w:hAnsi="CorpoS"/>
          <w:sz w:val="22"/>
          <w:szCs w:val="22"/>
          <w:lang w:val="de-DE"/>
        </w:rPr>
        <w:t>1.727,5 Mio. €.</w:t>
      </w:r>
      <w:r w:rsidR="0065120E">
        <w:rPr>
          <w:rFonts w:ascii="CorpoS" w:hAnsi="CorpoS"/>
          <w:sz w:val="22"/>
          <w:szCs w:val="22"/>
          <w:lang w:val="de-DE"/>
        </w:rPr>
        <w:t xml:space="preserve"> </w:t>
      </w:r>
      <w:r w:rsidR="007C68D3">
        <w:rPr>
          <w:rFonts w:ascii="CorpoS" w:hAnsi="CorpoS"/>
          <w:sz w:val="22"/>
          <w:szCs w:val="22"/>
          <w:lang w:val="de-DE"/>
        </w:rPr>
        <w:t>Die höchsten Umsatzanteile entfielen auf das V2500 für die A320-Familie und den Geschäftsreise- und Regionalflugzeugantrieb CF34. „Einen sign</w:t>
      </w:r>
      <w:r w:rsidR="007C68D3">
        <w:rPr>
          <w:rFonts w:ascii="CorpoS" w:hAnsi="CorpoS"/>
          <w:sz w:val="22"/>
          <w:szCs w:val="22"/>
          <w:lang w:val="de-DE"/>
        </w:rPr>
        <w:t>i</w:t>
      </w:r>
      <w:r w:rsidR="007C68D3">
        <w:rPr>
          <w:rFonts w:ascii="CorpoS" w:hAnsi="CorpoS"/>
          <w:sz w:val="22"/>
          <w:szCs w:val="22"/>
          <w:lang w:val="de-DE"/>
        </w:rPr>
        <w:t>fikanten Beitrag haben auch unser Triebwerksleasing und das Asset-Management-Geschäft geleistet - ein Zeichen dafür, dass wir unser Portfolio damit um die richtigen Dienstleistungen erweitert haben“, ergänzte Programm-Vorstand Michael Schreyögg.</w:t>
      </w:r>
    </w:p>
    <w:p w:rsidR="00C51A14" w:rsidRPr="00096329" w:rsidRDefault="00C51A14" w:rsidP="00C51A14">
      <w:pPr>
        <w:spacing w:line="300" w:lineRule="exact"/>
        <w:ind w:right="283"/>
        <w:jc w:val="both"/>
        <w:rPr>
          <w:rFonts w:ascii="CorpoS" w:hAnsi="CorpoS"/>
          <w:sz w:val="22"/>
          <w:szCs w:val="22"/>
          <w:lang w:val="de-DE"/>
        </w:rPr>
      </w:pPr>
    </w:p>
    <w:p w:rsidR="0091495A" w:rsidRDefault="00096329" w:rsidP="00C51A14">
      <w:pPr>
        <w:spacing w:line="300" w:lineRule="exact"/>
        <w:ind w:right="283"/>
        <w:jc w:val="both"/>
        <w:rPr>
          <w:rFonts w:ascii="CorpoS" w:hAnsi="CorpoS"/>
          <w:sz w:val="22"/>
          <w:szCs w:val="22"/>
          <w:lang w:val="de-DE"/>
        </w:rPr>
      </w:pPr>
      <w:r w:rsidRPr="00096329">
        <w:rPr>
          <w:rFonts w:ascii="CorpoS" w:hAnsi="CorpoS"/>
          <w:sz w:val="22"/>
          <w:szCs w:val="22"/>
          <w:lang w:val="de-DE"/>
        </w:rPr>
        <w:t xml:space="preserve">Der Umsatz des zivilen </w:t>
      </w:r>
      <w:r w:rsidR="00C51A14" w:rsidRPr="00096329">
        <w:rPr>
          <w:rFonts w:ascii="CorpoS" w:hAnsi="CorpoS"/>
          <w:sz w:val="22"/>
          <w:szCs w:val="22"/>
          <w:lang w:val="de-DE"/>
        </w:rPr>
        <w:t>Triebwerksgeschäft</w:t>
      </w:r>
      <w:r w:rsidRPr="00096329">
        <w:rPr>
          <w:rFonts w:ascii="CorpoS" w:hAnsi="CorpoS"/>
          <w:sz w:val="22"/>
          <w:szCs w:val="22"/>
          <w:lang w:val="de-DE"/>
        </w:rPr>
        <w:t xml:space="preserve">s </w:t>
      </w:r>
      <w:r>
        <w:rPr>
          <w:rFonts w:ascii="CorpoS" w:hAnsi="CorpoS"/>
          <w:sz w:val="22"/>
          <w:szCs w:val="22"/>
          <w:lang w:val="de-DE"/>
        </w:rPr>
        <w:t>hat</w:t>
      </w:r>
      <w:r w:rsidRPr="00096329">
        <w:rPr>
          <w:rFonts w:ascii="CorpoS" w:hAnsi="CorpoS"/>
          <w:sz w:val="22"/>
          <w:szCs w:val="22"/>
          <w:lang w:val="de-DE"/>
        </w:rPr>
        <w:t xml:space="preserve"> um 5 % von 1.738,3 Mio. € auf 1.821,4 Mio. € </w:t>
      </w:r>
      <w:r>
        <w:rPr>
          <w:rFonts w:ascii="CorpoS" w:hAnsi="CorpoS"/>
          <w:sz w:val="22"/>
          <w:szCs w:val="22"/>
          <w:lang w:val="de-DE"/>
        </w:rPr>
        <w:t>zug</w:t>
      </w:r>
      <w:r>
        <w:rPr>
          <w:rFonts w:ascii="CorpoS" w:hAnsi="CorpoS"/>
          <w:sz w:val="22"/>
          <w:szCs w:val="22"/>
          <w:lang w:val="de-DE"/>
        </w:rPr>
        <w:t>e</w:t>
      </w:r>
      <w:r>
        <w:rPr>
          <w:rFonts w:ascii="CorpoS" w:hAnsi="CorpoS"/>
          <w:sz w:val="22"/>
          <w:szCs w:val="22"/>
          <w:lang w:val="de-DE"/>
        </w:rPr>
        <w:t>nommen</w:t>
      </w:r>
      <w:r w:rsidR="00991CFF" w:rsidRPr="00096329">
        <w:rPr>
          <w:rFonts w:ascii="CorpoS" w:hAnsi="CorpoS"/>
          <w:sz w:val="22"/>
          <w:szCs w:val="22"/>
          <w:lang w:val="de-DE"/>
        </w:rPr>
        <w:t xml:space="preserve">. </w:t>
      </w:r>
      <w:r w:rsidR="00A45255">
        <w:rPr>
          <w:rFonts w:ascii="CorpoS" w:hAnsi="CorpoS"/>
          <w:sz w:val="22"/>
          <w:szCs w:val="22"/>
          <w:lang w:val="de-DE"/>
        </w:rPr>
        <w:t>„</w:t>
      </w:r>
      <w:r w:rsidR="007B30DE">
        <w:rPr>
          <w:rFonts w:ascii="CorpoS" w:hAnsi="CorpoS"/>
          <w:sz w:val="22"/>
          <w:szCs w:val="22"/>
          <w:lang w:val="de-DE"/>
        </w:rPr>
        <w:t>Im Gesamtjahr dürfte</w:t>
      </w:r>
      <w:r w:rsidR="000A4FBA">
        <w:rPr>
          <w:rFonts w:ascii="CorpoS" w:hAnsi="CorpoS"/>
          <w:sz w:val="22"/>
          <w:szCs w:val="22"/>
          <w:lang w:val="de-DE"/>
        </w:rPr>
        <w:t xml:space="preserve"> der Ersatzteilumsatz stärker ansteigen als bisher angenommen, der Umsatz des zivilen Seriengeschäfts etwas weniger stark“, so Winkler. „Wir gehen </w:t>
      </w:r>
      <w:r w:rsidR="00714F82">
        <w:rPr>
          <w:rFonts w:ascii="CorpoS" w:hAnsi="CorpoS"/>
          <w:sz w:val="22"/>
          <w:szCs w:val="22"/>
          <w:lang w:val="de-DE"/>
        </w:rPr>
        <w:t xml:space="preserve">im </w:t>
      </w:r>
      <w:r w:rsidR="009B110E">
        <w:rPr>
          <w:rFonts w:ascii="CorpoS" w:hAnsi="CorpoS"/>
          <w:sz w:val="22"/>
          <w:szCs w:val="22"/>
          <w:lang w:val="de-DE"/>
        </w:rPr>
        <w:t xml:space="preserve">Ersatzteilgeschäft </w:t>
      </w:r>
      <w:r w:rsidR="00714F82">
        <w:rPr>
          <w:rFonts w:ascii="CorpoS" w:hAnsi="CorpoS"/>
          <w:sz w:val="22"/>
          <w:szCs w:val="22"/>
          <w:lang w:val="de-DE"/>
        </w:rPr>
        <w:t>auf Dollar-Basis von etwa 10 % Plus aus, in der Serie</w:t>
      </w:r>
      <w:r w:rsidR="007B30DE">
        <w:rPr>
          <w:rFonts w:ascii="CorpoS" w:hAnsi="CorpoS"/>
          <w:sz w:val="22"/>
          <w:szCs w:val="22"/>
          <w:lang w:val="de-DE"/>
        </w:rPr>
        <w:t xml:space="preserve"> </w:t>
      </w:r>
      <w:r w:rsidR="000A4FBA">
        <w:rPr>
          <w:rFonts w:ascii="CorpoS" w:hAnsi="CorpoS"/>
          <w:sz w:val="22"/>
          <w:szCs w:val="22"/>
          <w:lang w:val="de-DE"/>
        </w:rPr>
        <w:t xml:space="preserve">von einer Zunahme im </w:t>
      </w:r>
      <w:r w:rsidR="007B30DE">
        <w:rPr>
          <w:rFonts w:ascii="CorpoS" w:hAnsi="CorpoS"/>
          <w:sz w:val="22"/>
          <w:szCs w:val="22"/>
          <w:lang w:val="de-DE"/>
        </w:rPr>
        <w:t>mittleren bis hohen ei</w:t>
      </w:r>
      <w:r w:rsidR="007B30DE">
        <w:rPr>
          <w:rFonts w:ascii="CorpoS" w:hAnsi="CorpoS"/>
          <w:sz w:val="22"/>
          <w:szCs w:val="22"/>
          <w:lang w:val="de-DE"/>
        </w:rPr>
        <w:t>n</w:t>
      </w:r>
      <w:r w:rsidR="007B30DE">
        <w:rPr>
          <w:rFonts w:ascii="CorpoS" w:hAnsi="CorpoS"/>
          <w:sz w:val="22"/>
          <w:szCs w:val="22"/>
          <w:lang w:val="de-DE"/>
        </w:rPr>
        <w:t>stelligen Prozent</w:t>
      </w:r>
      <w:r w:rsidR="000A4FBA">
        <w:rPr>
          <w:rFonts w:ascii="CorpoS" w:hAnsi="CorpoS"/>
          <w:sz w:val="22"/>
          <w:szCs w:val="22"/>
          <w:lang w:val="de-DE"/>
        </w:rPr>
        <w:t>bereich.“</w:t>
      </w:r>
      <w:r w:rsidR="007B30DE">
        <w:rPr>
          <w:rFonts w:ascii="CorpoS" w:hAnsi="CorpoS"/>
          <w:sz w:val="22"/>
          <w:szCs w:val="22"/>
          <w:lang w:val="de-DE"/>
        </w:rPr>
        <w:t xml:space="preserve"> Bisher </w:t>
      </w:r>
      <w:r w:rsidR="000A4FBA">
        <w:rPr>
          <w:rFonts w:ascii="CorpoS" w:hAnsi="CorpoS"/>
          <w:sz w:val="22"/>
          <w:szCs w:val="22"/>
          <w:lang w:val="de-DE"/>
        </w:rPr>
        <w:t xml:space="preserve">hatte </w:t>
      </w:r>
      <w:r w:rsidR="007B30DE">
        <w:rPr>
          <w:rFonts w:ascii="CorpoS" w:hAnsi="CorpoS"/>
          <w:sz w:val="22"/>
          <w:szCs w:val="22"/>
          <w:lang w:val="de-DE"/>
        </w:rPr>
        <w:t xml:space="preserve">die MTU </w:t>
      </w:r>
      <w:r w:rsidR="00263593">
        <w:rPr>
          <w:rFonts w:ascii="CorpoS" w:hAnsi="CorpoS"/>
          <w:sz w:val="22"/>
          <w:szCs w:val="22"/>
          <w:lang w:val="de-DE"/>
        </w:rPr>
        <w:t xml:space="preserve">sowohl </w:t>
      </w:r>
      <w:r w:rsidR="00372AD7">
        <w:rPr>
          <w:rFonts w:ascii="CorpoS" w:hAnsi="CorpoS"/>
          <w:sz w:val="22"/>
          <w:szCs w:val="22"/>
          <w:lang w:val="de-DE"/>
        </w:rPr>
        <w:t>im Ersatzteil</w:t>
      </w:r>
      <w:r w:rsidR="00263593">
        <w:rPr>
          <w:rFonts w:ascii="CorpoS" w:hAnsi="CorpoS"/>
          <w:sz w:val="22"/>
          <w:szCs w:val="22"/>
          <w:lang w:val="de-DE"/>
        </w:rPr>
        <w:t>- als auch im zivilen Serieng</w:t>
      </w:r>
      <w:r w:rsidR="00263593">
        <w:rPr>
          <w:rFonts w:ascii="CorpoS" w:hAnsi="CorpoS"/>
          <w:sz w:val="22"/>
          <w:szCs w:val="22"/>
          <w:lang w:val="de-DE"/>
        </w:rPr>
        <w:t>e</w:t>
      </w:r>
      <w:r w:rsidR="00263593">
        <w:rPr>
          <w:rFonts w:ascii="CorpoS" w:hAnsi="CorpoS"/>
          <w:sz w:val="22"/>
          <w:szCs w:val="22"/>
          <w:lang w:val="de-DE"/>
        </w:rPr>
        <w:t>schäft eine hohe einstellige Zuwachsrate</w:t>
      </w:r>
      <w:r w:rsidR="00372AD7">
        <w:rPr>
          <w:rFonts w:ascii="CorpoS" w:hAnsi="CorpoS"/>
          <w:sz w:val="22"/>
          <w:szCs w:val="22"/>
          <w:lang w:val="de-DE"/>
        </w:rPr>
        <w:t xml:space="preserve"> prognostiziert</w:t>
      </w:r>
      <w:r w:rsidR="007B30DE">
        <w:rPr>
          <w:rFonts w:ascii="CorpoS" w:hAnsi="CorpoS"/>
          <w:sz w:val="22"/>
          <w:szCs w:val="22"/>
          <w:lang w:val="de-DE"/>
        </w:rPr>
        <w:t xml:space="preserve">. </w:t>
      </w:r>
      <w:r w:rsidRPr="00096329">
        <w:rPr>
          <w:rFonts w:ascii="CorpoS" w:hAnsi="CorpoS"/>
          <w:sz w:val="22"/>
          <w:szCs w:val="22"/>
          <w:lang w:val="de-DE"/>
        </w:rPr>
        <w:t xml:space="preserve">Die wichtigsten Umsatzträger </w:t>
      </w:r>
      <w:r w:rsidR="007B30DE">
        <w:rPr>
          <w:rFonts w:ascii="CorpoS" w:hAnsi="CorpoS"/>
          <w:sz w:val="22"/>
          <w:szCs w:val="22"/>
          <w:lang w:val="de-DE"/>
        </w:rPr>
        <w:t xml:space="preserve">im zivilen Triebwerksgeschäft </w:t>
      </w:r>
      <w:r w:rsidRPr="00096329">
        <w:rPr>
          <w:rFonts w:ascii="CorpoS" w:hAnsi="CorpoS"/>
          <w:sz w:val="22"/>
          <w:szCs w:val="22"/>
          <w:lang w:val="de-DE"/>
        </w:rPr>
        <w:t xml:space="preserve">waren das </w:t>
      </w:r>
      <w:r w:rsidR="00991CFF" w:rsidRPr="00096329">
        <w:rPr>
          <w:rFonts w:ascii="CorpoS" w:hAnsi="CorpoS"/>
          <w:sz w:val="22"/>
          <w:szCs w:val="22"/>
          <w:lang w:val="de-DE"/>
        </w:rPr>
        <w:t>V2500, d</w:t>
      </w:r>
      <w:r w:rsidR="00475E50" w:rsidRPr="00096329">
        <w:rPr>
          <w:rFonts w:ascii="CorpoS" w:hAnsi="CorpoS"/>
          <w:sz w:val="22"/>
          <w:szCs w:val="22"/>
          <w:lang w:val="de-DE"/>
        </w:rPr>
        <w:t xml:space="preserve">as </w:t>
      </w:r>
      <w:proofErr w:type="spellStart"/>
      <w:r w:rsidR="00475E50" w:rsidRPr="00096329">
        <w:rPr>
          <w:rFonts w:ascii="CorpoS" w:hAnsi="CorpoS"/>
          <w:sz w:val="22"/>
          <w:szCs w:val="22"/>
          <w:lang w:val="de-DE"/>
        </w:rPr>
        <w:t>GEnx</w:t>
      </w:r>
      <w:proofErr w:type="spellEnd"/>
      <w:r w:rsidR="00475E50" w:rsidRPr="00096329">
        <w:rPr>
          <w:rFonts w:ascii="CorpoS" w:hAnsi="CorpoS"/>
          <w:sz w:val="22"/>
          <w:szCs w:val="22"/>
          <w:lang w:val="de-DE"/>
        </w:rPr>
        <w:t xml:space="preserve"> für die Boeing 787 und 747-8</w:t>
      </w:r>
      <w:r w:rsidR="00991CFF" w:rsidRPr="00096329">
        <w:rPr>
          <w:rFonts w:ascii="CorpoS" w:hAnsi="CorpoS"/>
          <w:sz w:val="22"/>
          <w:szCs w:val="22"/>
          <w:lang w:val="de-DE"/>
        </w:rPr>
        <w:t xml:space="preserve"> und der A320neo-Antrieb</w:t>
      </w:r>
      <w:r w:rsidR="008064CE" w:rsidRPr="00096329">
        <w:rPr>
          <w:rFonts w:ascii="CorpoS" w:hAnsi="CorpoS"/>
          <w:sz w:val="22"/>
          <w:szCs w:val="22"/>
          <w:lang w:val="de-DE"/>
        </w:rPr>
        <w:t xml:space="preserve"> PW1100G-JM</w:t>
      </w:r>
      <w:r w:rsidR="00991CFF" w:rsidRPr="00096329">
        <w:rPr>
          <w:rFonts w:ascii="CorpoS" w:hAnsi="CorpoS"/>
          <w:sz w:val="22"/>
          <w:szCs w:val="22"/>
          <w:lang w:val="de-DE"/>
        </w:rPr>
        <w:t>.</w:t>
      </w:r>
    </w:p>
    <w:p w:rsidR="008064CE" w:rsidRPr="00096329" w:rsidRDefault="008064CE" w:rsidP="00C51A14">
      <w:pPr>
        <w:spacing w:line="300" w:lineRule="exact"/>
        <w:ind w:right="283"/>
        <w:jc w:val="both"/>
        <w:rPr>
          <w:rFonts w:ascii="CorpoS" w:hAnsi="CorpoS"/>
          <w:sz w:val="22"/>
          <w:szCs w:val="22"/>
          <w:lang w:val="de-DE"/>
        </w:rPr>
      </w:pPr>
    </w:p>
    <w:p w:rsidR="00C51A14" w:rsidRPr="008F7EB9" w:rsidRDefault="008F7EB9" w:rsidP="00C51A14">
      <w:pPr>
        <w:spacing w:line="300" w:lineRule="exact"/>
        <w:ind w:right="283"/>
        <w:jc w:val="both"/>
        <w:rPr>
          <w:rFonts w:ascii="CorpoS" w:hAnsi="CorpoS"/>
          <w:i/>
          <w:sz w:val="22"/>
          <w:szCs w:val="22"/>
          <w:lang w:val="de-DE"/>
        </w:rPr>
      </w:pPr>
      <w:r w:rsidRPr="00096329">
        <w:rPr>
          <w:rFonts w:ascii="CorpoS" w:hAnsi="CorpoS"/>
          <w:sz w:val="22"/>
          <w:szCs w:val="22"/>
          <w:lang w:val="de-DE"/>
        </w:rPr>
        <w:t xml:space="preserve">Im militärischen Triebwerksgeschäft ist der Umsatz </w:t>
      </w:r>
      <w:r w:rsidR="00991CFF" w:rsidRPr="00096329">
        <w:rPr>
          <w:rFonts w:ascii="CorpoS" w:hAnsi="CorpoS"/>
          <w:sz w:val="22"/>
          <w:szCs w:val="22"/>
          <w:lang w:val="de-DE"/>
        </w:rPr>
        <w:t xml:space="preserve">um </w:t>
      </w:r>
      <w:r w:rsidR="0035075B" w:rsidRPr="00096329">
        <w:rPr>
          <w:rFonts w:ascii="CorpoS" w:hAnsi="CorpoS"/>
          <w:sz w:val="22"/>
          <w:szCs w:val="22"/>
          <w:lang w:val="de-DE"/>
        </w:rPr>
        <w:t>24</w:t>
      </w:r>
      <w:r w:rsidR="00991CFF" w:rsidRPr="00096329">
        <w:rPr>
          <w:rFonts w:ascii="CorpoS" w:hAnsi="CorpoS"/>
          <w:sz w:val="22"/>
          <w:szCs w:val="22"/>
          <w:lang w:val="de-DE"/>
        </w:rPr>
        <w:t xml:space="preserve"> % von </w:t>
      </w:r>
      <w:r w:rsidRPr="00096329">
        <w:rPr>
          <w:rFonts w:ascii="CorpoS" w:hAnsi="CorpoS"/>
          <w:sz w:val="22"/>
          <w:szCs w:val="22"/>
          <w:lang w:val="de-DE"/>
        </w:rPr>
        <w:t>356,8</w:t>
      </w:r>
      <w:r w:rsidR="00991CFF" w:rsidRPr="00096329">
        <w:rPr>
          <w:rFonts w:ascii="CorpoS" w:hAnsi="CorpoS"/>
          <w:sz w:val="22"/>
          <w:szCs w:val="22"/>
          <w:lang w:val="de-DE"/>
        </w:rPr>
        <w:t xml:space="preserve"> Mio. € auf </w:t>
      </w:r>
      <w:r w:rsidRPr="00096329">
        <w:rPr>
          <w:rFonts w:ascii="CorpoS" w:hAnsi="CorpoS"/>
          <w:sz w:val="22"/>
          <w:szCs w:val="22"/>
          <w:lang w:val="de-DE"/>
        </w:rPr>
        <w:t>271,5</w:t>
      </w:r>
      <w:r w:rsidR="00991CFF" w:rsidRPr="00096329">
        <w:rPr>
          <w:rFonts w:ascii="CorpoS" w:hAnsi="CorpoS"/>
          <w:sz w:val="22"/>
          <w:szCs w:val="22"/>
          <w:lang w:val="de-DE"/>
        </w:rPr>
        <w:t xml:space="preserve"> Mio. € </w:t>
      </w:r>
      <w:r w:rsidR="003A0927" w:rsidRPr="00096329">
        <w:rPr>
          <w:rFonts w:ascii="CorpoS" w:hAnsi="CorpoS"/>
          <w:sz w:val="22"/>
          <w:szCs w:val="22"/>
          <w:lang w:val="de-DE"/>
        </w:rPr>
        <w:br w:type="textWrapping" w:clear="all"/>
      </w:r>
      <w:r w:rsidR="00991CFF" w:rsidRPr="008F7EB9">
        <w:rPr>
          <w:rFonts w:ascii="CorpoS" w:hAnsi="CorpoS"/>
          <w:sz w:val="22"/>
          <w:szCs w:val="22"/>
          <w:lang w:val="de-DE"/>
        </w:rPr>
        <w:t>zurückgegangen.</w:t>
      </w:r>
      <w:r w:rsidR="00591762" w:rsidRPr="008F7EB9">
        <w:rPr>
          <w:rFonts w:ascii="CorpoS" w:hAnsi="CorpoS"/>
          <w:sz w:val="22"/>
          <w:szCs w:val="22"/>
          <w:lang w:val="de-DE"/>
        </w:rPr>
        <w:t xml:space="preserve"> Hauptu</w:t>
      </w:r>
      <w:r w:rsidR="00C51A14" w:rsidRPr="008F7EB9">
        <w:rPr>
          <w:rFonts w:ascii="CorpoS" w:hAnsi="CorpoS"/>
          <w:sz w:val="22"/>
          <w:szCs w:val="22"/>
          <w:lang w:val="de-DE"/>
        </w:rPr>
        <w:t>msatzträger war d</w:t>
      </w:r>
      <w:r w:rsidR="00991CFF" w:rsidRPr="008F7EB9">
        <w:rPr>
          <w:rFonts w:ascii="CorpoS" w:hAnsi="CorpoS"/>
          <w:sz w:val="22"/>
          <w:szCs w:val="22"/>
          <w:lang w:val="de-DE"/>
        </w:rPr>
        <w:t>as</w:t>
      </w:r>
      <w:r w:rsidR="00C51A14" w:rsidRPr="008F7EB9">
        <w:rPr>
          <w:rFonts w:ascii="CorpoS" w:hAnsi="CorpoS"/>
          <w:sz w:val="22"/>
          <w:szCs w:val="22"/>
          <w:lang w:val="de-DE"/>
        </w:rPr>
        <w:t xml:space="preserve"> Eurofighter-</w:t>
      </w:r>
      <w:r w:rsidR="00991CFF" w:rsidRPr="008F7EB9">
        <w:rPr>
          <w:rFonts w:ascii="CorpoS" w:hAnsi="CorpoS"/>
          <w:sz w:val="22"/>
          <w:szCs w:val="22"/>
          <w:lang w:val="de-DE"/>
        </w:rPr>
        <w:t>Triebwerk</w:t>
      </w:r>
      <w:r w:rsidR="00C51A14" w:rsidRPr="008F7EB9">
        <w:rPr>
          <w:rFonts w:ascii="CorpoS" w:hAnsi="CorpoS"/>
          <w:sz w:val="22"/>
          <w:szCs w:val="22"/>
          <w:lang w:val="de-DE"/>
        </w:rPr>
        <w:t xml:space="preserve"> EJ200.</w:t>
      </w:r>
    </w:p>
    <w:p w:rsidR="00C51A14" w:rsidRPr="008F7EB9" w:rsidRDefault="00C51A14" w:rsidP="00C51A14">
      <w:pPr>
        <w:tabs>
          <w:tab w:val="left" w:pos="7655"/>
          <w:tab w:val="left" w:pos="9072"/>
        </w:tabs>
        <w:spacing w:line="300" w:lineRule="exact"/>
        <w:ind w:right="283"/>
        <w:jc w:val="both"/>
        <w:rPr>
          <w:rFonts w:ascii="CorpoS" w:hAnsi="CorpoS"/>
          <w:sz w:val="22"/>
          <w:szCs w:val="22"/>
          <w:lang w:val="de-DE"/>
        </w:rPr>
      </w:pPr>
    </w:p>
    <w:p w:rsidR="00C51A14" w:rsidRPr="00191C2E" w:rsidRDefault="00191C2E" w:rsidP="00C51A14">
      <w:pPr>
        <w:tabs>
          <w:tab w:val="left" w:pos="7655"/>
          <w:tab w:val="left" w:pos="9072"/>
        </w:tabs>
        <w:spacing w:line="300" w:lineRule="exact"/>
        <w:ind w:right="283"/>
        <w:jc w:val="both"/>
        <w:rPr>
          <w:rFonts w:ascii="CorpoS" w:hAnsi="CorpoS"/>
          <w:sz w:val="22"/>
          <w:szCs w:val="22"/>
          <w:lang w:val="de-DE"/>
        </w:rPr>
      </w:pPr>
      <w:r w:rsidRPr="00191C2E">
        <w:rPr>
          <w:rFonts w:ascii="CorpoS" w:hAnsi="CorpoS"/>
          <w:sz w:val="22"/>
          <w:szCs w:val="22"/>
          <w:lang w:val="de-DE"/>
        </w:rPr>
        <w:t xml:space="preserve">Der Auftragsbestand lag Ende September bei 12.129,0 Mio. € nach </w:t>
      </w:r>
      <w:r w:rsidR="00181D71" w:rsidRPr="00191C2E">
        <w:rPr>
          <w:rFonts w:ascii="CorpoS" w:hAnsi="CorpoS"/>
          <w:sz w:val="22"/>
          <w:szCs w:val="22"/>
          <w:lang w:val="de-DE"/>
        </w:rPr>
        <w:t>1</w:t>
      </w:r>
      <w:r w:rsidR="000A22E2" w:rsidRPr="00191C2E">
        <w:rPr>
          <w:rFonts w:ascii="CorpoS" w:hAnsi="CorpoS"/>
          <w:sz w:val="22"/>
          <w:szCs w:val="22"/>
          <w:lang w:val="de-DE"/>
        </w:rPr>
        <w:t>4</w:t>
      </w:r>
      <w:r w:rsidR="00181D71" w:rsidRPr="00191C2E">
        <w:rPr>
          <w:rFonts w:ascii="CorpoS" w:hAnsi="CorpoS"/>
          <w:sz w:val="22"/>
          <w:szCs w:val="22"/>
          <w:lang w:val="de-DE"/>
        </w:rPr>
        <w:t>.</w:t>
      </w:r>
      <w:r w:rsidR="000A22E2" w:rsidRPr="00191C2E">
        <w:rPr>
          <w:rFonts w:ascii="CorpoS" w:hAnsi="CorpoS"/>
          <w:sz w:val="22"/>
          <w:szCs w:val="22"/>
          <w:lang w:val="de-DE"/>
        </w:rPr>
        <w:t>172,2</w:t>
      </w:r>
      <w:r w:rsidR="00181D71" w:rsidRPr="00191C2E">
        <w:rPr>
          <w:rFonts w:ascii="CorpoS" w:hAnsi="CorpoS"/>
          <w:sz w:val="22"/>
          <w:szCs w:val="22"/>
          <w:lang w:val="de-DE"/>
        </w:rPr>
        <w:t xml:space="preserve"> Mio. €</w:t>
      </w:r>
      <w:r w:rsidRPr="00191C2E">
        <w:rPr>
          <w:rFonts w:ascii="CorpoS" w:hAnsi="CorpoS"/>
          <w:sz w:val="22"/>
          <w:szCs w:val="22"/>
          <w:lang w:val="de-DE"/>
        </w:rPr>
        <w:t xml:space="preserve"> am 31. Dezember 2016. Die meisten Aufträge entfielen auf das </w:t>
      </w:r>
      <w:r w:rsidR="00C51A14" w:rsidRPr="00191C2E">
        <w:rPr>
          <w:rFonts w:ascii="CorpoS" w:hAnsi="CorpoS"/>
          <w:sz w:val="22"/>
          <w:szCs w:val="22"/>
          <w:lang w:val="de-DE"/>
        </w:rPr>
        <w:t>V2500 und die Getriebefan</w:t>
      </w:r>
      <w:r w:rsidR="00CF0603" w:rsidRPr="00191C2E">
        <w:rPr>
          <w:rFonts w:ascii="CorpoS" w:hAnsi="CorpoS"/>
          <w:sz w:val="22"/>
          <w:szCs w:val="22"/>
          <w:lang w:val="de-DE"/>
        </w:rPr>
        <w:t>-Triebwerke der PW1000G-Familie</w:t>
      </w:r>
      <w:r w:rsidR="000A22E2" w:rsidRPr="00191C2E">
        <w:rPr>
          <w:rFonts w:ascii="CorpoS" w:hAnsi="CorpoS"/>
          <w:sz w:val="22"/>
          <w:szCs w:val="22"/>
          <w:lang w:val="de-DE"/>
        </w:rPr>
        <w:t>,</w:t>
      </w:r>
      <w:r w:rsidR="00C51A14" w:rsidRPr="00191C2E">
        <w:rPr>
          <w:rFonts w:ascii="CorpoS" w:hAnsi="CorpoS"/>
          <w:sz w:val="22"/>
          <w:szCs w:val="22"/>
          <w:lang w:val="de-DE"/>
        </w:rPr>
        <w:t xml:space="preserve"> insbesondere</w:t>
      </w:r>
      <w:r w:rsidRPr="00191C2E">
        <w:rPr>
          <w:rFonts w:ascii="CorpoS" w:hAnsi="CorpoS"/>
          <w:sz w:val="22"/>
          <w:szCs w:val="22"/>
          <w:lang w:val="de-DE"/>
        </w:rPr>
        <w:t xml:space="preserve"> das PW1100G-JM für die A320neo. </w:t>
      </w:r>
    </w:p>
    <w:p w:rsidR="00C51A14" w:rsidRPr="00191C2E" w:rsidRDefault="00C51A14" w:rsidP="00C51A14">
      <w:pPr>
        <w:tabs>
          <w:tab w:val="left" w:pos="7655"/>
          <w:tab w:val="left" w:pos="9072"/>
        </w:tabs>
        <w:spacing w:line="300" w:lineRule="exact"/>
        <w:ind w:right="283"/>
        <w:jc w:val="both"/>
        <w:rPr>
          <w:rFonts w:ascii="CorpoS" w:hAnsi="CorpoS"/>
          <w:sz w:val="22"/>
          <w:szCs w:val="22"/>
          <w:lang w:val="de-DE"/>
        </w:rPr>
      </w:pPr>
    </w:p>
    <w:p w:rsidR="00C51A14" w:rsidRPr="002C2460" w:rsidRDefault="001D1846" w:rsidP="00C51A14">
      <w:pPr>
        <w:tabs>
          <w:tab w:val="left" w:pos="7655"/>
          <w:tab w:val="left" w:pos="9072"/>
        </w:tabs>
        <w:spacing w:line="300" w:lineRule="exact"/>
        <w:ind w:right="283"/>
        <w:jc w:val="both"/>
        <w:rPr>
          <w:rFonts w:ascii="CorpoS" w:hAnsi="CorpoS"/>
          <w:color w:val="FF0000"/>
          <w:sz w:val="22"/>
          <w:szCs w:val="22"/>
          <w:lang w:val="de-DE"/>
        </w:rPr>
      </w:pPr>
      <w:r w:rsidRPr="00191C2E">
        <w:rPr>
          <w:rFonts w:ascii="CorpoS" w:hAnsi="CorpoS"/>
          <w:sz w:val="22"/>
          <w:szCs w:val="22"/>
          <w:lang w:val="de-DE"/>
        </w:rPr>
        <w:t xml:space="preserve">Ihr Ergebnis hat die MTU in den ersten neun Monaten in beiden Geschäftsbereichen verbessert: Das </w:t>
      </w:r>
      <w:r w:rsidRPr="001D1846">
        <w:rPr>
          <w:rFonts w:ascii="CorpoS" w:hAnsi="CorpoS"/>
          <w:sz w:val="22"/>
          <w:szCs w:val="22"/>
          <w:lang w:val="de-DE"/>
        </w:rPr>
        <w:t xml:space="preserve">operative Ergebnis des OEM-Geschäfts stieg um 15 % auf 303,3 Mio. € (1-9/2016: 264,5 Mio. €). Die EBIT-Marge legte um 1,9 Prozentpunkte  von 12,6 % auf 14,5 % zu. </w:t>
      </w:r>
      <w:r w:rsidR="003C4FFB">
        <w:rPr>
          <w:rFonts w:ascii="CorpoS" w:hAnsi="CorpoS"/>
          <w:sz w:val="22"/>
          <w:szCs w:val="22"/>
          <w:lang w:val="de-DE"/>
        </w:rPr>
        <w:t>„Wir erwarten im vierte</w:t>
      </w:r>
      <w:r w:rsidR="00942722">
        <w:rPr>
          <w:rFonts w:ascii="CorpoS" w:hAnsi="CorpoS"/>
          <w:sz w:val="22"/>
          <w:szCs w:val="22"/>
          <w:lang w:val="de-DE"/>
        </w:rPr>
        <w:t>n</w:t>
      </w:r>
      <w:r w:rsidR="003C4FFB">
        <w:rPr>
          <w:rFonts w:ascii="CorpoS" w:hAnsi="CorpoS"/>
          <w:sz w:val="22"/>
          <w:szCs w:val="22"/>
          <w:lang w:val="de-DE"/>
        </w:rPr>
        <w:t xml:space="preserve"> Quartal einen weiteren Anstieg der Getriebefan-Auslieferungen. Das dürfte sich im Gesamtjahr auch in unserer Marge niederschlagen“, </w:t>
      </w:r>
      <w:r w:rsidR="00942722">
        <w:rPr>
          <w:rFonts w:ascii="CorpoS" w:hAnsi="CorpoS"/>
          <w:sz w:val="22"/>
          <w:szCs w:val="22"/>
          <w:lang w:val="de-DE"/>
        </w:rPr>
        <w:t>er</w:t>
      </w:r>
      <w:r w:rsidR="009B72F3">
        <w:rPr>
          <w:rFonts w:ascii="CorpoS" w:hAnsi="CorpoS"/>
          <w:sz w:val="22"/>
          <w:szCs w:val="22"/>
          <w:lang w:val="de-DE"/>
        </w:rPr>
        <w:t>gänzte</w:t>
      </w:r>
      <w:r w:rsidR="003C4FFB">
        <w:rPr>
          <w:rFonts w:ascii="CorpoS" w:hAnsi="CorpoS"/>
          <w:sz w:val="22"/>
          <w:szCs w:val="22"/>
          <w:lang w:val="de-DE"/>
        </w:rPr>
        <w:t xml:space="preserve"> Winkler. </w:t>
      </w:r>
      <w:r w:rsidRPr="001D1846">
        <w:rPr>
          <w:rFonts w:ascii="CorpoS" w:hAnsi="CorpoS"/>
          <w:sz w:val="22"/>
          <w:szCs w:val="22"/>
          <w:lang w:val="de-DE"/>
        </w:rPr>
        <w:t>Die zivile Instandhaltung erzielte ein Ergebnisplus von 14 % auf 146,8 Mio. € (1-9/2016: 129,0 Mio. €) bei einer Ergebnismarge von 8,5 % (1-9/2016: 9,4 %).</w:t>
      </w:r>
    </w:p>
    <w:p w:rsidR="00C51A14" w:rsidRPr="00E76A6F" w:rsidRDefault="00C51A14" w:rsidP="00C51A14">
      <w:pPr>
        <w:tabs>
          <w:tab w:val="left" w:pos="7655"/>
          <w:tab w:val="left" w:pos="7938"/>
        </w:tabs>
        <w:spacing w:line="300" w:lineRule="exact"/>
        <w:ind w:right="283"/>
        <w:jc w:val="both"/>
        <w:rPr>
          <w:rFonts w:ascii="CorpoS" w:hAnsi="CorpoS"/>
          <w:sz w:val="22"/>
          <w:szCs w:val="22"/>
          <w:lang w:val="de-DE"/>
        </w:rPr>
      </w:pPr>
    </w:p>
    <w:p w:rsidR="00C51A14" w:rsidRPr="00E76A6F" w:rsidRDefault="00E76A6F" w:rsidP="00C51A14">
      <w:pPr>
        <w:tabs>
          <w:tab w:val="left" w:pos="7655"/>
          <w:tab w:val="left" w:pos="7938"/>
        </w:tabs>
        <w:spacing w:line="300" w:lineRule="exact"/>
        <w:ind w:right="283"/>
        <w:jc w:val="both"/>
        <w:rPr>
          <w:rFonts w:ascii="CorpoS" w:hAnsi="CorpoS"/>
          <w:sz w:val="22"/>
          <w:szCs w:val="22"/>
          <w:lang w:val="de-DE"/>
        </w:rPr>
      </w:pPr>
      <w:r w:rsidRPr="00E76A6F">
        <w:rPr>
          <w:rFonts w:ascii="CorpoS" w:hAnsi="CorpoS"/>
          <w:sz w:val="22"/>
          <w:szCs w:val="22"/>
          <w:lang w:val="de-DE"/>
        </w:rPr>
        <w:t xml:space="preserve">In den ersten neun Monaten 2017 sind 162,4 Mio. € in Forschung und Entwicklung geflossen </w:t>
      </w:r>
      <w:r w:rsidR="003166DB">
        <w:rPr>
          <w:rFonts w:ascii="CorpoS" w:hAnsi="CorpoS"/>
          <w:sz w:val="22"/>
          <w:szCs w:val="22"/>
          <w:lang w:val="de-DE"/>
        </w:rPr>
        <w:br w:type="textWrapping" w:clear="all"/>
      </w:r>
      <w:r w:rsidRPr="00E76A6F">
        <w:rPr>
          <w:rFonts w:ascii="CorpoS" w:hAnsi="CorpoS"/>
          <w:sz w:val="22"/>
          <w:szCs w:val="22"/>
          <w:lang w:val="de-DE"/>
        </w:rPr>
        <w:t xml:space="preserve">(1-9/2016: 157,9 Mio. €). Im </w:t>
      </w:r>
      <w:r w:rsidR="00B2314E" w:rsidRPr="00E76A6F">
        <w:rPr>
          <w:rFonts w:ascii="CorpoS" w:hAnsi="CorpoS"/>
          <w:sz w:val="22"/>
          <w:szCs w:val="22"/>
          <w:lang w:val="de-DE"/>
        </w:rPr>
        <w:t xml:space="preserve">Fokus der F&amp;E-Aktivitäten </w:t>
      </w:r>
      <w:r w:rsidRPr="00E76A6F">
        <w:rPr>
          <w:rFonts w:ascii="CorpoS" w:hAnsi="CorpoS"/>
          <w:sz w:val="22"/>
          <w:szCs w:val="22"/>
          <w:lang w:val="de-DE"/>
        </w:rPr>
        <w:t>standen die</w:t>
      </w:r>
      <w:r w:rsidR="00B2314E" w:rsidRPr="00E76A6F">
        <w:rPr>
          <w:rFonts w:ascii="CorpoS" w:hAnsi="CorpoS"/>
          <w:sz w:val="22"/>
          <w:szCs w:val="22"/>
          <w:lang w:val="de-DE"/>
        </w:rPr>
        <w:t xml:space="preserve"> </w:t>
      </w:r>
      <w:r w:rsidR="005C6A8C" w:rsidRPr="00E76A6F">
        <w:rPr>
          <w:rFonts w:ascii="CorpoS" w:hAnsi="CorpoS"/>
          <w:sz w:val="22"/>
          <w:szCs w:val="22"/>
          <w:lang w:val="de-DE"/>
        </w:rPr>
        <w:t>Getriebefan-Programme und ihre Weiterentwicklung</w:t>
      </w:r>
      <w:r w:rsidR="00B2314E" w:rsidRPr="00E76A6F">
        <w:rPr>
          <w:rFonts w:ascii="CorpoS" w:hAnsi="CorpoS"/>
          <w:sz w:val="22"/>
          <w:szCs w:val="22"/>
          <w:lang w:val="de-DE"/>
        </w:rPr>
        <w:t xml:space="preserve">, </w:t>
      </w:r>
      <w:r w:rsidRPr="00E76A6F">
        <w:rPr>
          <w:rFonts w:ascii="CorpoS" w:hAnsi="CorpoS"/>
          <w:sz w:val="22"/>
          <w:szCs w:val="22"/>
          <w:lang w:val="de-DE"/>
        </w:rPr>
        <w:t>das</w:t>
      </w:r>
      <w:r w:rsidR="00B2314E" w:rsidRPr="00E76A6F">
        <w:rPr>
          <w:rFonts w:ascii="CorpoS" w:hAnsi="CorpoS"/>
          <w:sz w:val="22"/>
          <w:szCs w:val="22"/>
          <w:lang w:val="de-DE"/>
        </w:rPr>
        <w:t xml:space="preserve"> </w:t>
      </w:r>
      <w:r w:rsidR="005C6A8C" w:rsidRPr="00E76A6F">
        <w:rPr>
          <w:rFonts w:ascii="CorpoS" w:hAnsi="CorpoS"/>
          <w:sz w:val="22"/>
          <w:szCs w:val="22"/>
          <w:lang w:val="de-DE"/>
        </w:rPr>
        <w:t xml:space="preserve">GE9X für das Langstreckenflugzeug Boeing 777X </w:t>
      </w:r>
      <w:r w:rsidR="008944CD" w:rsidRPr="00E76A6F">
        <w:rPr>
          <w:rFonts w:ascii="CorpoS" w:hAnsi="CorpoS"/>
          <w:sz w:val="22"/>
          <w:szCs w:val="22"/>
          <w:lang w:val="de-DE"/>
        </w:rPr>
        <w:t>sowie</w:t>
      </w:r>
      <w:r w:rsidR="005C6A8C" w:rsidRPr="00E76A6F">
        <w:rPr>
          <w:rFonts w:ascii="CorpoS" w:hAnsi="CorpoS"/>
          <w:sz w:val="22"/>
          <w:szCs w:val="22"/>
          <w:lang w:val="de-DE"/>
        </w:rPr>
        <w:t xml:space="preserve"> Technologiestudien und F&amp;E-Arbeiten für zukünftige Antriebsgenerationen.</w:t>
      </w:r>
      <w:r w:rsidR="00C51A14" w:rsidRPr="00E76A6F">
        <w:rPr>
          <w:rFonts w:ascii="CorpoS" w:hAnsi="CorpoS"/>
          <w:sz w:val="22"/>
          <w:szCs w:val="22"/>
          <w:lang w:val="de-DE"/>
        </w:rPr>
        <w:t xml:space="preserve"> </w:t>
      </w:r>
      <w:r w:rsidR="00CC0598">
        <w:rPr>
          <w:rFonts w:ascii="CorpoS" w:hAnsi="CorpoS"/>
          <w:sz w:val="22"/>
          <w:szCs w:val="22"/>
          <w:lang w:val="de-DE"/>
        </w:rPr>
        <w:t>„Damit stellen wir die MTU so auf, dass sie auch in Zukunft als Technologieführer in den wachstumsstärksten Programmen vertreten ist“, sagte Technik-Vorstand Dr. Rainer Martens.</w:t>
      </w:r>
    </w:p>
    <w:p w:rsidR="00C51A14" w:rsidRPr="00E76A6F" w:rsidRDefault="00C51A14" w:rsidP="00C51A14">
      <w:pPr>
        <w:tabs>
          <w:tab w:val="left" w:pos="7655"/>
          <w:tab w:val="left" w:pos="9072"/>
        </w:tabs>
        <w:spacing w:line="300" w:lineRule="exact"/>
        <w:ind w:right="283"/>
        <w:jc w:val="both"/>
        <w:rPr>
          <w:rFonts w:ascii="CorpoS" w:hAnsi="CorpoS"/>
          <w:sz w:val="22"/>
          <w:szCs w:val="22"/>
          <w:lang w:val="de-DE"/>
        </w:rPr>
      </w:pPr>
    </w:p>
    <w:p w:rsidR="00C51A14" w:rsidRPr="00560D20" w:rsidRDefault="00FA4490" w:rsidP="00C51A14">
      <w:pPr>
        <w:tabs>
          <w:tab w:val="left" w:pos="7655"/>
          <w:tab w:val="left" w:pos="9072"/>
        </w:tabs>
        <w:spacing w:line="300" w:lineRule="exact"/>
        <w:ind w:right="283"/>
        <w:jc w:val="both"/>
        <w:rPr>
          <w:rFonts w:ascii="CorpoS" w:hAnsi="CorpoS"/>
          <w:sz w:val="22"/>
          <w:szCs w:val="22"/>
          <w:lang w:val="de-DE"/>
        </w:rPr>
      </w:pPr>
      <w:r w:rsidRPr="00560D20">
        <w:rPr>
          <w:rFonts w:ascii="CorpoS" w:hAnsi="CorpoS"/>
          <w:sz w:val="22"/>
          <w:szCs w:val="22"/>
          <w:lang w:val="de-DE"/>
        </w:rPr>
        <w:t>D</w:t>
      </w:r>
      <w:r w:rsidR="003A74F5" w:rsidRPr="00560D20">
        <w:rPr>
          <w:rFonts w:ascii="CorpoS" w:hAnsi="CorpoS"/>
          <w:sz w:val="22"/>
          <w:szCs w:val="22"/>
          <w:lang w:val="de-DE"/>
        </w:rPr>
        <w:t xml:space="preserve">er Free Cashflow </w:t>
      </w:r>
      <w:r w:rsidR="002534DF" w:rsidRPr="00560D20">
        <w:rPr>
          <w:rFonts w:ascii="CorpoS" w:hAnsi="CorpoS"/>
          <w:sz w:val="22"/>
          <w:szCs w:val="22"/>
          <w:lang w:val="de-DE"/>
        </w:rPr>
        <w:t xml:space="preserve">lag mit 119,1 Mio. € (1-9/2016: 75,0 Mio. €) </w:t>
      </w:r>
      <w:r w:rsidR="00560D20" w:rsidRPr="00560D20">
        <w:rPr>
          <w:rFonts w:ascii="CorpoS" w:hAnsi="CorpoS"/>
          <w:sz w:val="22"/>
          <w:szCs w:val="22"/>
          <w:lang w:val="de-DE"/>
        </w:rPr>
        <w:t>auf</w:t>
      </w:r>
      <w:r w:rsidR="002534DF" w:rsidRPr="00560D20">
        <w:rPr>
          <w:rFonts w:ascii="CorpoS" w:hAnsi="CorpoS"/>
          <w:sz w:val="22"/>
          <w:szCs w:val="22"/>
          <w:lang w:val="de-DE"/>
        </w:rPr>
        <w:t xml:space="preserve"> dem Niveau, das die MTU</w:t>
      </w:r>
      <w:r w:rsidR="00560D20" w:rsidRPr="00560D20">
        <w:rPr>
          <w:rFonts w:ascii="CorpoS" w:hAnsi="CorpoS"/>
          <w:sz w:val="22"/>
          <w:szCs w:val="22"/>
          <w:lang w:val="de-DE"/>
        </w:rPr>
        <w:t xml:space="preserve"> </w:t>
      </w:r>
      <w:r w:rsidR="000D0091">
        <w:rPr>
          <w:rFonts w:ascii="CorpoS" w:hAnsi="CorpoS"/>
          <w:sz w:val="22"/>
          <w:szCs w:val="22"/>
          <w:lang w:val="de-DE"/>
        </w:rPr>
        <w:t>bisher</w:t>
      </w:r>
      <w:r w:rsidR="00560D20" w:rsidRPr="00560D20">
        <w:rPr>
          <w:rFonts w:ascii="CorpoS" w:hAnsi="CorpoS"/>
          <w:sz w:val="22"/>
          <w:szCs w:val="22"/>
          <w:lang w:val="de-DE"/>
        </w:rPr>
        <w:t xml:space="preserve"> für das Gesamtjahr erwartet</w:t>
      </w:r>
      <w:r w:rsidR="000D0091">
        <w:rPr>
          <w:rFonts w:ascii="CorpoS" w:hAnsi="CorpoS"/>
          <w:sz w:val="22"/>
          <w:szCs w:val="22"/>
          <w:lang w:val="de-DE"/>
        </w:rPr>
        <w:t xml:space="preserve"> hatte</w:t>
      </w:r>
      <w:r w:rsidR="00C75B75">
        <w:rPr>
          <w:rFonts w:ascii="CorpoS" w:hAnsi="CorpoS"/>
          <w:sz w:val="22"/>
          <w:szCs w:val="22"/>
          <w:lang w:val="de-DE"/>
        </w:rPr>
        <w:t>.</w:t>
      </w:r>
      <w:r w:rsidR="00560D20" w:rsidRPr="00560D20">
        <w:rPr>
          <w:rFonts w:ascii="CorpoS" w:hAnsi="CorpoS"/>
          <w:sz w:val="22"/>
          <w:szCs w:val="22"/>
          <w:lang w:val="de-DE"/>
        </w:rPr>
        <w:t xml:space="preserve"> „</w:t>
      </w:r>
      <w:r w:rsidR="000D0091">
        <w:rPr>
          <w:rFonts w:ascii="CorpoS" w:hAnsi="CorpoS"/>
          <w:sz w:val="22"/>
          <w:szCs w:val="22"/>
          <w:lang w:val="de-DE"/>
        </w:rPr>
        <w:t>Aus heutiger Sicht</w:t>
      </w:r>
      <w:r w:rsidR="00560D20" w:rsidRPr="00560D20">
        <w:rPr>
          <w:rFonts w:ascii="CorpoS" w:hAnsi="CorpoS"/>
          <w:sz w:val="22"/>
          <w:szCs w:val="22"/>
          <w:lang w:val="de-DE"/>
        </w:rPr>
        <w:t xml:space="preserve"> rechnen </w:t>
      </w:r>
      <w:r w:rsidR="003166DB">
        <w:rPr>
          <w:rFonts w:ascii="CorpoS" w:hAnsi="CorpoS"/>
          <w:sz w:val="22"/>
          <w:szCs w:val="22"/>
          <w:lang w:val="de-DE"/>
        </w:rPr>
        <w:t xml:space="preserve">wir </w:t>
      </w:r>
      <w:r w:rsidR="00560D20" w:rsidRPr="00560D20">
        <w:rPr>
          <w:rFonts w:ascii="CorpoS" w:hAnsi="CorpoS"/>
          <w:sz w:val="22"/>
          <w:szCs w:val="22"/>
          <w:lang w:val="de-DE"/>
        </w:rPr>
        <w:t>für 2017 mit e</w:t>
      </w:r>
      <w:r w:rsidR="00992B29" w:rsidRPr="00560D20">
        <w:rPr>
          <w:rFonts w:ascii="CorpoS" w:hAnsi="CorpoS"/>
          <w:sz w:val="22"/>
          <w:szCs w:val="22"/>
          <w:lang w:val="de-DE"/>
        </w:rPr>
        <w:t>ine</w:t>
      </w:r>
      <w:r w:rsidR="00560D20" w:rsidRPr="00560D20">
        <w:rPr>
          <w:rFonts w:ascii="CorpoS" w:hAnsi="CorpoS"/>
          <w:sz w:val="22"/>
          <w:szCs w:val="22"/>
          <w:lang w:val="de-DE"/>
        </w:rPr>
        <w:t>m</w:t>
      </w:r>
      <w:r w:rsidR="00733915" w:rsidRPr="00560D20">
        <w:rPr>
          <w:rFonts w:ascii="CorpoS" w:hAnsi="CorpoS"/>
          <w:sz w:val="22"/>
          <w:szCs w:val="22"/>
          <w:lang w:val="de-DE"/>
        </w:rPr>
        <w:t xml:space="preserve"> Free Cashflow von </w:t>
      </w:r>
      <w:r w:rsidR="009153DB">
        <w:rPr>
          <w:rFonts w:ascii="CorpoS" w:hAnsi="CorpoS"/>
          <w:sz w:val="22"/>
          <w:szCs w:val="22"/>
          <w:lang w:val="de-DE"/>
        </w:rPr>
        <w:t>etwa</w:t>
      </w:r>
      <w:r w:rsidR="00733915" w:rsidRPr="00560D20">
        <w:rPr>
          <w:rFonts w:ascii="CorpoS" w:hAnsi="CorpoS"/>
          <w:sz w:val="22"/>
          <w:szCs w:val="22"/>
          <w:lang w:val="de-DE"/>
        </w:rPr>
        <w:t xml:space="preserve"> 1</w:t>
      </w:r>
      <w:r w:rsidR="000D0091">
        <w:rPr>
          <w:rFonts w:ascii="CorpoS" w:hAnsi="CorpoS"/>
          <w:sz w:val="22"/>
          <w:szCs w:val="22"/>
          <w:lang w:val="de-DE"/>
        </w:rPr>
        <w:t>4</w:t>
      </w:r>
      <w:r w:rsidR="00733915" w:rsidRPr="00560D20">
        <w:rPr>
          <w:rFonts w:ascii="CorpoS" w:hAnsi="CorpoS"/>
          <w:sz w:val="22"/>
          <w:szCs w:val="22"/>
          <w:lang w:val="de-DE"/>
        </w:rPr>
        <w:t>0 Millionen Euro</w:t>
      </w:r>
      <w:r w:rsidR="00B2314E" w:rsidRPr="00560D20">
        <w:rPr>
          <w:rFonts w:ascii="CorpoS" w:hAnsi="CorpoS"/>
          <w:sz w:val="22"/>
          <w:szCs w:val="22"/>
          <w:lang w:val="de-DE"/>
        </w:rPr>
        <w:t>“</w:t>
      </w:r>
      <w:r w:rsidR="00E60431" w:rsidRPr="00560D20">
        <w:rPr>
          <w:rFonts w:ascii="CorpoS" w:hAnsi="CorpoS"/>
          <w:sz w:val="22"/>
          <w:szCs w:val="22"/>
          <w:lang w:val="de-DE"/>
        </w:rPr>
        <w:t>, so Winkler.</w:t>
      </w:r>
    </w:p>
    <w:p w:rsidR="00C51A14" w:rsidRPr="00560D20" w:rsidRDefault="00C51A14" w:rsidP="00C51A14">
      <w:pPr>
        <w:tabs>
          <w:tab w:val="left" w:pos="7655"/>
          <w:tab w:val="left" w:pos="9072"/>
        </w:tabs>
        <w:spacing w:line="300" w:lineRule="exact"/>
        <w:ind w:right="283"/>
        <w:jc w:val="both"/>
        <w:rPr>
          <w:rFonts w:ascii="CorpoS" w:hAnsi="CorpoS"/>
          <w:sz w:val="22"/>
          <w:szCs w:val="22"/>
          <w:lang w:val="de-DE"/>
        </w:rPr>
      </w:pPr>
    </w:p>
    <w:p w:rsidR="00C51A14" w:rsidRPr="0091495A" w:rsidRDefault="00DD7595" w:rsidP="00C51A14">
      <w:pPr>
        <w:tabs>
          <w:tab w:val="left" w:pos="7655"/>
          <w:tab w:val="left" w:pos="9072"/>
        </w:tabs>
        <w:spacing w:line="300" w:lineRule="exact"/>
        <w:ind w:right="283"/>
        <w:jc w:val="both"/>
        <w:rPr>
          <w:rFonts w:ascii="CorpoS" w:hAnsi="CorpoS"/>
          <w:sz w:val="22"/>
          <w:szCs w:val="22"/>
          <w:lang w:val="de-DE"/>
        </w:rPr>
      </w:pPr>
      <w:r w:rsidRPr="0091495A">
        <w:rPr>
          <w:rFonts w:ascii="CorpoS" w:hAnsi="CorpoS"/>
          <w:sz w:val="22"/>
          <w:szCs w:val="22"/>
          <w:lang w:val="de-DE"/>
        </w:rPr>
        <w:t xml:space="preserve">Die Investitionen in Sachanlagen </w:t>
      </w:r>
      <w:r w:rsidR="005427EA" w:rsidRPr="0091495A">
        <w:rPr>
          <w:rFonts w:ascii="CorpoS" w:hAnsi="CorpoS"/>
          <w:sz w:val="22"/>
          <w:szCs w:val="22"/>
          <w:lang w:val="de-DE"/>
        </w:rPr>
        <w:t>waren</w:t>
      </w:r>
      <w:r w:rsidRPr="0091495A">
        <w:rPr>
          <w:rFonts w:ascii="CorpoS" w:hAnsi="CorpoS"/>
          <w:sz w:val="22"/>
          <w:szCs w:val="22"/>
          <w:lang w:val="de-DE"/>
        </w:rPr>
        <w:t xml:space="preserve"> mit 91,5 Mio. € </w:t>
      </w:r>
      <w:r w:rsidR="005427EA" w:rsidRPr="0091495A">
        <w:rPr>
          <w:rFonts w:ascii="CorpoS" w:hAnsi="CorpoS"/>
          <w:sz w:val="22"/>
          <w:szCs w:val="22"/>
          <w:lang w:val="de-DE"/>
        </w:rPr>
        <w:t>genauso hoch wie im Vergleichszeitraum.</w:t>
      </w:r>
      <w:r w:rsidRPr="0091495A">
        <w:rPr>
          <w:rFonts w:ascii="CorpoS" w:hAnsi="CorpoS"/>
          <w:sz w:val="22"/>
          <w:szCs w:val="22"/>
          <w:lang w:val="de-DE"/>
        </w:rPr>
        <w:t xml:space="preserve"> De</w:t>
      </w:r>
      <w:r w:rsidR="009153DB" w:rsidRPr="0091495A">
        <w:rPr>
          <w:rFonts w:ascii="CorpoS" w:hAnsi="CorpoS"/>
          <w:sz w:val="22"/>
          <w:szCs w:val="22"/>
          <w:lang w:val="de-DE"/>
        </w:rPr>
        <w:t>n</w:t>
      </w:r>
      <w:r w:rsidRPr="005427EA">
        <w:rPr>
          <w:rFonts w:ascii="CorpoS" w:hAnsi="CorpoS"/>
          <w:i/>
          <w:sz w:val="22"/>
          <w:szCs w:val="22"/>
          <w:lang w:val="de-DE"/>
        </w:rPr>
        <w:t xml:space="preserve"> </w:t>
      </w:r>
      <w:r w:rsidR="005B5E19" w:rsidRPr="0091495A">
        <w:rPr>
          <w:rFonts w:ascii="CorpoS" w:hAnsi="CorpoS"/>
          <w:sz w:val="22"/>
          <w:szCs w:val="22"/>
          <w:lang w:val="de-DE"/>
        </w:rPr>
        <w:t xml:space="preserve">Schwerpunkt bildeten die Investitionen </w:t>
      </w:r>
      <w:r w:rsidR="00CE58B6">
        <w:rPr>
          <w:rFonts w:ascii="CorpoS" w:hAnsi="CorpoS"/>
          <w:sz w:val="22"/>
          <w:szCs w:val="22"/>
          <w:lang w:val="de-DE"/>
        </w:rPr>
        <w:t>für den</w:t>
      </w:r>
      <w:r w:rsidR="005B5E19" w:rsidRPr="0091495A">
        <w:rPr>
          <w:rFonts w:ascii="CorpoS" w:hAnsi="CorpoS"/>
          <w:sz w:val="22"/>
          <w:szCs w:val="22"/>
          <w:lang w:val="de-DE"/>
        </w:rPr>
        <w:t xml:space="preserve"> </w:t>
      </w:r>
      <w:proofErr w:type="spellStart"/>
      <w:r w:rsidR="005B5E19" w:rsidRPr="0091495A">
        <w:rPr>
          <w:rFonts w:ascii="CorpoS" w:hAnsi="CorpoS"/>
          <w:sz w:val="22"/>
          <w:szCs w:val="22"/>
          <w:lang w:val="de-DE"/>
        </w:rPr>
        <w:t>Hochlauf</w:t>
      </w:r>
      <w:proofErr w:type="spellEnd"/>
      <w:r w:rsidR="005B5E19" w:rsidRPr="0091495A">
        <w:rPr>
          <w:rFonts w:ascii="CorpoS" w:hAnsi="CorpoS"/>
          <w:sz w:val="22"/>
          <w:szCs w:val="22"/>
          <w:lang w:val="de-DE"/>
        </w:rPr>
        <w:t xml:space="preserve"> der Getriebefan-Programme. </w:t>
      </w:r>
    </w:p>
    <w:p w:rsidR="00C51A14" w:rsidRPr="00DD7595" w:rsidRDefault="00C51A14" w:rsidP="00C51A14">
      <w:pPr>
        <w:tabs>
          <w:tab w:val="left" w:pos="7655"/>
          <w:tab w:val="left" w:pos="9072"/>
        </w:tabs>
        <w:spacing w:line="300" w:lineRule="exact"/>
        <w:ind w:right="283"/>
        <w:jc w:val="both"/>
        <w:rPr>
          <w:rFonts w:ascii="CorpoS" w:hAnsi="CorpoS"/>
          <w:sz w:val="22"/>
          <w:szCs w:val="22"/>
          <w:lang w:val="de-DE"/>
        </w:rPr>
      </w:pPr>
    </w:p>
    <w:p w:rsidR="00C51A14" w:rsidRPr="002C2460" w:rsidRDefault="00727D93" w:rsidP="00C51A14">
      <w:pPr>
        <w:tabs>
          <w:tab w:val="left" w:pos="7655"/>
          <w:tab w:val="left" w:pos="9072"/>
        </w:tabs>
        <w:spacing w:line="300" w:lineRule="exact"/>
        <w:ind w:right="283"/>
        <w:jc w:val="both"/>
        <w:rPr>
          <w:rFonts w:ascii="CorpoS" w:eastAsia="SimSun" w:hAnsi="CorpoS"/>
          <w:color w:val="FF0000"/>
          <w:sz w:val="22"/>
          <w:szCs w:val="22"/>
          <w:lang w:val="de-DE" w:eastAsia="zh-CN"/>
        </w:rPr>
      </w:pPr>
      <w:r w:rsidRPr="00DD7595">
        <w:rPr>
          <w:rFonts w:ascii="CorpoS" w:eastAsia="SimSun" w:hAnsi="CorpoS"/>
          <w:sz w:val="22"/>
          <w:szCs w:val="22"/>
          <w:lang w:val="de-DE" w:eastAsia="zh-CN"/>
        </w:rPr>
        <w:t xml:space="preserve">Die MTU zählte am Quartalsende </w:t>
      </w:r>
      <w:r w:rsidR="00966D07">
        <w:rPr>
          <w:rFonts w:ascii="CorpoS" w:eastAsia="SimSun" w:hAnsi="CorpoS"/>
          <w:sz w:val="22"/>
          <w:szCs w:val="22"/>
          <w:lang w:val="de-DE" w:eastAsia="zh-CN"/>
        </w:rPr>
        <w:t xml:space="preserve">8.697 Mitarbeiter, </w:t>
      </w:r>
      <w:r w:rsidRPr="00DD7595">
        <w:rPr>
          <w:rFonts w:ascii="CorpoS" w:eastAsia="SimSun" w:hAnsi="CorpoS"/>
          <w:sz w:val="22"/>
          <w:szCs w:val="22"/>
          <w:lang w:val="de-DE" w:eastAsia="zh-CN"/>
        </w:rPr>
        <w:t xml:space="preserve">4 % mehr als am Jahresende 2016 </w:t>
      </w:r>
      <w:r w:rsidR="003F0EC8" w:rsidRPr="00DD7595">
        <w:rPr>
          <w:rFonts w:ascii="CorpoS" w:eastAsia="SimSun" w:hAnsi="CorpoS"/>
          <w:sz w:val="22"/>
          <w:szCs w:val="22"/>
          <w:lang w:val="de-DE" w:eastAsia="zh-CN"/>
        </w:rPr>
        <w:t>(</w:t>
      </w:r>
      <w:r w:rsidR="00C51A14" w:rsidRPr="00DD7595">
        <w:rPr>
          <w:rFonts w:ascii="CorpoS" w:eastAsia="SimSun" w:hAnsi="CorpoS"/>
          <w:sz w:val="22"/>
          <w:szCs w:val="22"/>
          <w:lang w:val="de-DE" w:eastAsia="zh-CN"/>
        </w:rPr>
        <w:t>31. Dezember 201</w:t>
      </w:r>
      <w:r w:rsidR="003F0EC8" w:rsidRPr="00DD7595">
        <w:rPr>
          <w:rFonts w:ascii="CorpoS" w:eastAsia="SimSun" w:hAnsi="CorpoS"/>
          <w:sz w:val="22"/>
          <w:szCs w:val="22"/>
          <w:lang w:val="de-DE" w:eastAsia="zh-CN"/>
        </w:rPr>
        <w:t>6</w:t>
      </w:r>
      <w:r w:rsidR="00C51A14" w:rsidRPr="00DD7595">
        <w:rPr>
          <w:rFonts w:ascii="CorpoS" w:eastAsia="SimSun" w:hAnsi="CorpoS"/>
          <w:sz w:val="22"/>
          <w:szCs w:val="22"/>
          <w:lang w:val="de-DE" w:eastAsia="zh-CN"/>
        </w:rPr>
        <w:t xml:space="preserve">: </w:t>
      </w:r>
      <w:r w:rsidR="00C51A14" w:rsidRPr="00727D93">
        <w:rPr>
          <w:rFonts w:ascii="CorpoS" w:eastAsia="SimSun" w:hAnsi="CorpoS"/>
          <w:sz w:val="22"/>
          <w:szCs w:val="22"/>
          <w:lang w:val="de-DE" w:eastAsia="zh-CN"/>
        </w:rPr>
        <w:t>8.</w:t>
      </w:r>
      <w:r w:rsidR="000A22E2" w:rsidRPr="00727D93">
        <w:rPr>
          <w:rFonts w:ascii="CorpoS" w:eastAsia="SimSun" w:hAnsi="CorpoS"/>
          <w:sz w:val="22"/>
          <w:szCs w:val="22"/>
          <w:lang w:val="de-DE" w:eastAsia="zh-CN"/>
        </w:rPr>
        <w:t>368</w:t>
      </w:r>
      <w:r w:rsidR="009153DB">
        <w:rPr>
          <w:rFonts w:ascii="CorpoS" w:eastAsia="SimSun" w:hAnsi="CorpoS"/>
          <w:sz w:val="22"/>
          <w:szCs w:val="22"/>
          <w:lang w:val="de-DE" w:eastAsia="zh-CN"/>
        </w:rPr>
        <w:t xml:space="preserve"> Mitarbeiter</w:t>
      </w:r>
      <w:r w:rsidR="00C51A14" w:rsidRPr="00F05701">
        <w:rPr>
          <w:rFonts w:ascii="CorpoS" w:eastAsia="SimSun" w:hAnsi="CorpoS"/>
          <w:sz w:val="22"/>
          <w:szCs w:val="22"/>
          <w:lang w:val="de-DE" w:eastAsia="zh-CN"/>
        </w:rPr>
        <w:t>).</w:t>
      </w:r>
      <w:r w:rsidRPr="00F05701">
        <w:rPr>
          <w:rFonts w:ascii="CorpoS" w:eastAsia="SimSun" w:hAnsi="CorpoS"/>
          <w:sz w:val="22"/>
          <w:szCs w:val="22"/>
          <w:lang w:val="de-DE" w:eastAsia="zh-CN"/>
        </w:rPr>
        <w:t xml:space="preserve"> Personal wurde vor allem an den Instandhaltungsstandorten Hannover und </w:t>
      </w:r>
      <w:r w:rsidR="00F05701" w:rsidRPr="00F05701">
        <w:rPr>
          <w:rFonts w:ascii="CorpoS" w:eastAsia="SimSun" w:hAnsi="CorpoS"/>
          <w:sz w:val="22"/>
          <w:szCs w:val="22"/>
          <w:lang w:val="de-DE" w:eastAsia="zh-CN"/>
        </w:rPr>
        <w:t xml:space="preserve">Ludwigsfelde sowie bei der MTU Aero Engines </w:t>
      </w:r>
      <w:proofErr w:type="spellStart"/>
      <w:r w:rsidR="00F05701" w:rsidRPr="00F05701">
        <w:rPr>
          <w:rFonts w:ascii="CorpoS" w:eastAsia="SimSun" w:hAnsi="CorpoS"/>
          <w:sz w:val="22"/>
          <w:szCs w:val="22"/>
          <w:lang w:val="de-DE" w:eastAsia="zh-CN"/>
        </w:rPr>
        <w:t>Polska</w:t>
      </w:r>
      <w:proofErr w:type="spellEnd"/>
      <w:r w:rsidRPr="00F05701">
        <w:rPr>
          <w:rFonts w:ascii="CorpoS" w:eastAsia="SimSun" w:hAnsi="CorpoS"/>
          <w:sz w:val="22"/>
          <w:szCs w:val="22"/>
          <w:lang w:val="de-DE" w:eastAsia="zh-CN"/>
        </w:rPr>
        <w:t xml:space="preserve"> aufgebaut.</w:t>
      </w:r>
    </w:p>
    <w:p w:rsidR="00150467" w:rsidRPr="005F0CA7" w:rsidRDefault="00150467">
      <w:pPr>
        <w:rPr>
          <w:rFonts w:ascii="CorpoS" w:hAnsi="CorpoS"/>
          <w:b/>
          <w:sz w:val="22"/>
          <w:szCs w:val="22"/>
          <w:lang w:val="de-DE"/>
        </w:rPr>
      </w:pPr>
      <w:r w:rsidRPr="005F0CA7">
        <w:rPr>
          <w:rFonts w:ascii="CorpoS" w:hAnsi="CorpoS"/>
          <w:b/>
          <w:sz w:val="22"/>
          <w:szCs w:val="22"/>
          <w:lang w:val="de-DE"/>
        </w:rPr>
        <w:br w:type="page"/>
      </w:r>
    </w:p>
    <w:p w:rsidR="00766743" w:rsidRPr="00AB6495" w:rsidRDefault="0079305F" w:rsidP="00766743">
      <w:pPr>
        <w:tabs>
          <w:tab w:val="left" w:pos="7655"/>
          <w:tab w:val="left" w:pos="9072"/>
        </w:tabs>
        <w:spacing w:line="300" w:lineRule="exact"/>
        <w:ind w:right="283"/>
        <w:jc w:val="both"/>
        <w:rPr>
          <w:rFonts w:ascii="CorpoS" w:hAnsi="CorpoS"/>
          <w:b/>
          <w:sz w:val="22"/>
          <w:szCs w:val="22"/>
          <w:lang w:val="de-DE"/>
        </w:rPr>
      </w:pPr>
      <w:r>
        <w:rPr>
          <w:rFonts w:ascii="CorpoS" w:hAnsi="CorpoS"/>
          <w:b/>
          <w:sz w:val="22"/>
          <w:szCs w:val="22"/>
          <w:lang w:val="de-DE"/>
        </w:rPr>
        <w:lastRenderedPageBreak/>
        <w:t xml:space="preserve">MTU Aero Engines – Eckdaten </w:t>
      </w:r>
      <w:r w:rsidR="002C2460">
        <w:rPr>
          <w:rFonts w:ascii="CorpoS" w:hAnsi="CorpoS"/>
          <w:b/>
          <w:sz w:val="22"/>
          <w:szCs w:val="22"/>
          <w:lang w:val="de-DE"/>
        </w:rPr>
        <w:t>3. Quartal</w:t>
      </w:r>
      <w:r w:rsidR="00766743" w:rsidRPr="00AB6495">
        <w:rPr>
          <w:rFonts w:ascii="CorpoS" w:hAnsi="CorpoS"/>
          <w:b/>
          <w:sz w:val="22"/>
          <w:szCs w:val="22"/>
          <w:lang w:val="de-DE"/>
        </w:rPr>
        <w:t xml:space="preserve"> 201</w:t>
      </w:r>
      <w:r>
        <w:rPr>
          <w:rFonts w:ascii="CorpoS" w:hAnsi="CorpoS"/>
          <w:b/>
          <w:sz w:val="22"/>
          <w:szCs w:val="22"/>
          <w:lang w:val="de-DE"/>
        </w:rPr>
        <w:t>7</w:t>
      </w:r>
    </w:p>
    <w:p w:rsidR="00766743" w:rsidRDefault="00766743" w:rsidP="00766743">
      <w:pPr>
        <w:tabs>
          <w:tab w:val="left" w:pos="7938"/>
        </w:tabs>
        <w:autoSpaceDE w:val="0"/>
        <w:autoSpaceDN w:val="0"/>
        <w:adjustRightInd w:val="0"/>
        <w:ind w:right="283"/>
        <w:rPr>
          <w:rFonts w:ascii="CorpoS" w:hAnsi="CorpoS"/>
          <w:i/>
          <w:sz w:val="18"/>
          <w:szCs w:val="18"/>
          <w:lang w:val="de-DE"/>
        </w:rPr>
      </w:pPr>
      <w:r w:rsidRPr="00AB6495">
        <w:rPr>
          <w:rFonts w:ascii="CorpoS" w:hAnsi="CorpoS"/>
          <w:i/>
          <w:sz w:val="18"/>
          <w:szCs w:val="18"/>
          <w:lang w:val="de-DE"/>
        </w:rPr>
        <w:t xml:space="preserve">(Beträge in Mio. €, </w:t>
      </w:r>
      <w:r w:rsidR="00511729">
        <w:rPr>
          <w:rFonts w:ascii="CorpoS" w:hAnsi="CorpoS"/>
          <w:i/>
          <w:sz w:val="18"/>
          <w:szCs w:val="18"/>
          <w:lang w:val="de-DE"/>
        </w:rPr>
        <w:t>bereinigt</w:t>
      </w:r>
      <w:r w:rsidRPr="00AB6495">
        <w:rPr>
          <w:rFonts w:ascii="CorpoS" w:hAnsi="CorpoS"/>
          <w:i/>
          <w:sz w:val="18"/>
          <w:szCs w:val="18"/>
          <w:lang w:val="de-DE"/>
        </w:rPr>
        <w:t>, Rechnungslegung nach IFRS)</w:t>
      </w:r>
    </w:p>
    <w:p w:rsidR="003536F8" w:rsidRPr="00AB6495" w:rsidRDefault="003536F8" w:rsidP="00766743">
      <w:pPr>
        <w:tabs>
          <w:tab w:val="left" w:pos="7938"/>
        </w:tabs>
        <w:autoSpaceDE w:val="0"/>
        <w:autoSpaceDN w:val="0"/>
        <w:adjustRightInd w:val="0"/>
        <w:ind w:right="283"/>
        <w:rPr>
          <w:rFonts w:ascii="CorpoS" w:hAnsi="CorpoS"/>
          <w:i/>
          <w:sz w:val="18"/>
          <w:szCs w:val="18"/>
          <w:lang w:val="de-DE"/>
        </w:rPr>
      </w:pPr>
    </w:p>
    <w:p w:rsidR="00CF55C2" w:rsidRDefault="00CF55C2" w:rsidP="00766743">
      <w:pPr>
        <w:ind w:right="1984"/>
        <w:jc w:val="both"/>
        <w:rPr>
          <w:rFonts w:ascii="CorpoS" w:hAnsi="CorpoS"/>
          <w:lang w:val="de-D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1276"/>
        <w:gridCol w:w="1276"/>
        <w:gridCol w:w="1418"/>
      </w:tblGrid>
      <w:tr w:rsidR="002C2460" w:rsidRPr="002C2460" w:rsidTr="00126044">
        <w:tc>
          <w:tcPr>
            <w:tcW w:w="3969" w:type="dxa"/>
            <w:tcBorders>
              <w:right w:val="single" w:sz="4" w:space="0" w:color="auto"/>
            </w:tcBorders>
            <w:shd w:val="clear" w:color="auto" w:fill="auto"/>
          </w:tcPr>
          <w:p w:rsidR="002C2460" w:rsidRPr="00AB6495" w:rsidRDefault="002C2460" w:rsidP="00126044">
            <w:pPr>
              <w:rPr>
                <w:rFonts w:ascii="CorpoS" w:hAnsi="CorpoS"/>
                <w:b/>
                <w:sz w:val="22"/>
                <w:szCs w:val="22"/>
              </w:rPr>
            </w:pPr>
            <w:r w:rsidRPr="00AB6495">
              <w:rPr>
                <w:rFonts w:ascii="CorpoS" w:hAnsi="CorpoS"/>
                <w:b/>
                <w:sz w:val="22"/>
                <w:szCs w:val="22"/>
              </w:rPr>
              <w:t>MTU Aero Engines</w:t>
            </w:r>
          </w:p>
          <w:p w:rsidR="002C2460" w:rsidRPr="00AB6495" w:rsidRDefault="002C2460" w:rsidP="00126044">
            <w:pPr>
              <w:rPr>
                <w:rFonts w:ascii="CorpoS" w:hAnsi="CorpoS"/>
                <w:b/>
                <w:sz w:val="22"/>
                <w:szCs w:val="22"/>
              </w:rPr>
            </w:pPr>
          </w:p>
        </w:tc>
        <w:tc>
          <w:tcPr>
            <w:tcW w:w="1134" w:type="dxa"/>
            <w:tcBorders>
              <w:left w:val="single" w:sz="4" w:space="0" w:color="auto"/>
              <w:right w:val="single" w:sz="4" w:space="0" w:color="auto"/>
            </w:tcBorders>
          </w:tcPr>
          <w:p w:rsidR="002C2460" w:rsidRDefault="002C2460" w:rsidP="00126044">
            <w:pPr>
              <w:jc w:val="right"/>
              <w:rPr>
                <w:rFonts w:ascii="CorpoS" w:hAnsi="CorpoS"/>
                <w:b/>
                <w:sz w:val="22"/>
                <w:szCs w:val="22"/>
                <w:lang w:val="de-DE"/>
              </w:rPr>
            </w:pPr>
            <w:r>
              <w:rPr>
                <w:rFonts w:ascii="CorpoS" w:hAnsi="CorpoS"/>
                <w:b/>
                <w:sz w:val="22"/>
                <w:szCs w:val="22"/>
                <w:lang w:val="de-DE"/>
              </w:rPr>
              <w:t>Q3 2016</w:t>
            </w:r>
          </w:p>
        </w:tc>
        <w:tc>
          <w:tcPr>
            <w:tcW w:w="1134" w:type="dxa"/>
            <w:tcBorders>
              <w:left w:val="single" w:sz="4" w:space="0" w:color="auto"/>
              <w:right w:val="single" w:sz="18" w:space="0" w:color="auto"/>
            </w:tcBorders>
          </w:tcPr>
          <w:p w:rsidR="002C2460" w:rsidRDefault="002C2460" w:rsidP="00126044">
            <w:pPr>
              <w:jc w:val="right"/>
              <w:rPr>
                <w:rFonts w:ascii="CorpoS" w:hAnsi="CorpoS"/>
                <w:b/>
                <w:sz w:val="22"/>
                <w:szCs w:val="22"/>
                <w:lang w:val="de-DE"/>
              </w:rPr>
            </w:pPr>
            <w:r>
              <w:rPr>
                <w:rFonts w:ascii="CorpoS" w:hAnsi="CorpoS"/>
                <w:b/>
                <w:sz w:val="22"/>
                <w:szCs w:val="22"/>
                <w:lang w:val="de-DE"/>
              </w:rPr>
              <w:t>Q3 2017</w:t>
            </w:r>
          </w:p>
        </w:tc>
        <w:tc>
          <w:tcPr>
            <w:tcW w:w="1276" w:type="dxa"/>
            <w:tcBorders>
              <w:top w:val="single" w:sz="18" w:space="0" w:color="auto"/>
              <w:left w:val="single" w:sz="18" w:space="0" w:color="auto"/>
            </w:tcBorders>
            <w:shd w:val="clear" w:color="auto" w:fill="auto"/>
          </w:tcPr>
          <w:p w:rsidR="002C2460" w:rsidRPr="003423A0" w:rsidRDefault="002C2460" w:rsidP="00126044">
            <w:pPr>
              <w:jc w:val="right"/>
              <w:rPr>
                <w:rFonts w:ascii="CorpoS" w:hAnsi="CorpoS"/>
                <w:b/>
                <w:sz w:val="22"/>
                <w:szCs w:val="22"/>
                <w:lang w:val="de-DE"/>
              </w:rPr>
            </w:pPr>
            <w:r>
              <w:rPr>
                <w:rFonts w:ascii="CorpoS" w:hAnsi="CorpoS"/>
                <w:b/>
                <w:sz w:val="22"/>
                <w:szCs w:val="22"/>
                <w:lang w:val="de-DE"/>
              </w:rPr>
              <w:t>p</w:t>
            </w:r>
            <w:r w:rsidRPr="003423A0">
              <w:rPr>
                <w:rFonts w:ascii="CorpoS" w:hAnsi="CorpoS"/>
                <w:b/>
                <w:sz w:val="22"/>
                <w:szCs w:val="22"/>
                <w:lang w:val="de-DE"/>
              </w:rPr>
              <w:t xml:space="preserve">er </w:t>
            </w:r>
            <w:r>
              <w:rPr>
                <w:rFonts w:ascii="CorpoS" w:hAnsi="CorpoS"/>
                <w:b/>
                <w:sz w:val="22"/>
                <w:szCs w:val="22"/>
                <w:lang w:val="de-DE"/>
              </w:rPr>
              <w:t>Sept. 2016</w:t>
            </w:r>
          </w:p>
          <w:p w:rsidR="002C2460" w:rsidRPr="003423A0" w:rsidRDefault="002C2460" w:rsidP="00126044">
            <w:pPr>
              <w:jc w:val="right"/>
              <w:rPr>
                <w:rFonts w:ascii="CorpoS" w:hAnsi="CorpoS"/>
                <w:i/>
                <w:sz w:val="16"/>
                <w:szCs w:val="16"/>
                <w:lang w:val="de-DE"/>
              </w:rPr>
            </w:pPr>
          </w:p>
        </w:tc>
        <w:tc>
          <w:tcPr>
            <w:tcW w:w="1276" w:type="dxa"/>
            <w:tcBorders>
              <w:top w:val="single" w:sz="18" w:space="0" w:color="auto"/>
            </w:tcBorders>
            <w:shd w:val="clear" w:color="auto" w:fill="auto"/>
          </w:tcPr>
          <w:p w:rsidR="002C2460" w:rsidRPr="00712A02" w:rsidRDefault="002C2460" w:rsidP="002C2460">
            <w:pPr>
              <w:jc w:val="right"/>
              <w:rPr>
                <w:rFonts w:ascii="CorpoS" w:hAnsi="CorpoS"/>
                <w:b/>
                <w:sz w:val="22"/>
                <w:szCs w:val="22"/>
                <w:lang w:val="de-DE"/>
              </w:rPr>
            </w:pPr>
            <w:r>
              <w:rPr>
                <w:rFonts w:ascii="CorpoS" w:hAnsi="CorpoS"/>
                <w:b/>
                <w:sz w:val="22"/>
                <w:szCs w:val="22"/>
                <w:lang w:val="de-DE"/>
              </w:rPr>
              <w:t>per Sept.</w:t>
            </w:r>
            <w:r w:rsidRPr="003423A0">
              <w:rPr>
                <w:rFonts w:ascii="CorpoS" w:hAnsi="CorpoS"/>
                <w:b/>
                <w:sz w:val="22"/>
                <w:szCs w:val="22"/>
                <w:lang w:val="de-DE"/>
              </w:rPr>
              <w:t xml:space="preserve"> 201</w:t>
            </w:r>
            <w:r>
              <w:rPr>
                <w:rFonts w:ascii="CorpoS" w:hAnsi="CorpoS"/>
                <w:b/>
                <w:sz w:val="22"/>
                <w:szCs w:val="22"/>
                <w:lang w:val="de-DE"/>
              </w:rPr>
              <w:t>7</w:t>
            </w:r>
          </w:p>
        </w:tc>
        <w:tc>
          <w:tcPr>
            <w:tcW w:w="1418" w:type="dxa"/>
            <w:tcBorders>
              <w:top w:val="single" w:sz="18" w:space="0" w:color="auto"/>
              <w:right w:val="single" w:sz="18" w:space="0" w:color="auto"/>
            </w:tcBorders>
            <w:shd w:val="clear" w:color="auto" w:fill="auto"/>
          </w:tcPr>
          <w:p w:rsidR="002C2460" w:rsidRPr="003423A0" w:rsidRDefault="002C2460" w:rsidP="00126044">
            <w:pPr>
              <w:ind w:right="33"/>
              <w:rPr>
                <w:rFonts w:ascii="CorpoS" w:hAnsi="CorpoS"/>
                <w:b/>
                <w:sz w:val="22"/>
                <w:szCs w:val="22"/>
                <w:lang w:val="de-DE"/>
              </w:rPr>
            </w:pPr>
            <w:r w:rsidRPr="003423A0">
              <w:rPr>
                <w:rFonts w:ascii="CorpoS" w:hAnsi="CorpoS"/>
                <w:b/>
                <w:sz w:val="22"/>
                <w:szCs w:val="22"/>
                <w:lang w:val="de-DE"/>
              </w:rPr>
              <w:t>Veränd</w:t>
            </w:r>
            <w:r w:rsidRPr="003423A0">
              <w:rPr>
                <w:rFonts w:ascii="CorpoS" w:hAnsi="CorpoS"/>
                <w:b/>
                <w:sz w:val="22"/>
                <w:szCs w:val="22"/>
                <w:lang w:val="de-DE"/>
              </w:rPr>
              <w:t>e</w:t>
            </w:r>
            <w:r w:rsidRPr="003423A0">
              <w:rPr>
                <w:rFonts w:ascii="CorpoS" w:hAnsi="CorpoS"/>
                <w:b/>
                <w:sz w:val="22"/>
                <w:szCs w:val="22"/>
                <w:lang w:val="de-DE"/>
              </w:rPr>
              <w:t>rung</w:t>
            </w:r>
          </w:p>
        </w:tc>
      </w:tr>
      <w:tr w:rsidR="00160513" w:rsidRPr="002C2460" w:rsidTr="00126044">
        <w:tc>
          <w:tcPr>
            <w:tcW w:w="3969" w:type="dxa"/>
            <w:tcBorders>
              <w:right w:val="single" w:sz="4" w:space="0" w:color="auto"/>
            </w:tcBorders>
            <w:shd w:val="clear" w:color="auto" w:fill="auto"/>
          </w:tcPr>
          <w:p w:rsidR="00160513" w:rsidRPr="003423A0" w:rsidRDefault="00160513" w:rsidP="00126044">
            <w:pPr>
              <w:rPr>
                <w:rFonts w:ascii="CorpoS" w:hAnsi="CorpoS"/>
                <w:sz w:val="22"/>
                <w:szCs w:val="22"/>
                <w:lang w:val="de-DE"/>
              </w:rPr>
            </w:pPr>
            <w:r w:rsidRPr="003423A0">
              <w:rPr>
                <w:rFonts w:ascii="CorpoS" w:hAnsi="CorpoS"/>
                <w:sz w:val="22"/>
                <w:szCs w:val="22"/>
                <w:lang w:val="de-DE"/>
              </w:rPr>
              <w:t>Umsatz</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1.102,1</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1.197,4</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3.401,3</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3.745,4</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+ 10,1 %</w:t>
            </w:r>
          </w:p>
        </w:tc>
      </w:tr>
      <w:tr w:rsidR="00160513" w:rsidRPr="003423A0" w:rsidTr="00126044">
        <w:tc>
          <w:tcPr>
            <w:tcW w:w="3969" w:type="dxa"/>
            <w:tcBorders>
              <w:right w:val="single" w:sz="4" w:space="0" w:color="auto"/>
            </w:tcBorders>
            <w:shd w:val="clear" w:color="auto" w:fill="auto"/>
          </w:tcPr>
          <w:p w:rsidR="00160513" w:rsidRPr="003423A0" w:rsidRDefault="00160513" w:rsidP="00126044">
            <w:pPr>
              <w:rPr>
                <w:rFonts w:ascii="CorpoS" w:hAnsi="CorpoS"/>
                <w:sz w:val="22"/>
                <w:szCs w:val="22"/>
                <w:lang w:val="de-DE"/>
              </w:rPr>
            </w:pPr>
            <w:r w:rsidRPr="003423A0">
              <w:rPr>
                <w:rFonts w:ascii="CorpoS" w:hAnsi="CorpoS"/>
                <w:sz w:val="22"/>
                <w:szCs w:val="22"/>
                <w:lang w:val="de-DE"/>
              </w:rPr>
              <w:t xml:space="preserve">   davon OEM-Geschäft</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654,0</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677,6</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2.095,1</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2.092,9</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- 0,1 %</w:t>
            </w:r>
          </w:p>
        </w:tc>
      </w:tr>
      <w:tr w:rsidR="00160513" w:rsidRPr="00AB6495" w:rsidTr="00126044">
        <w:tc>
          <w:tcPr>
            <w:tcW w:w="3969" w:type="dxa"/>
            <w:tcBorders>
              <w:right w:val="single" w:sz="4" w:space="0" w:color="auto"/>
            </w:tcBorders>
            <w:shd w:val="clear" w:color="auto" w:fill="auto"/>
          </w:tcPr>
          <w:p w:rsidR="00160513" w:rsidRPr="00AB6495" w:rsidRDefault="00160513" w:rsidP="00126044">
            <w:pPr>
              <w:rPr>
                <w:rFonts w:ascii="CorpoS" w:hAnsi="CorpoS"/>
                <w:sz w:val="22"/>
                <w:szCs w:val="22"/>
              </w:rPr>
            </w:pPr>
            <w:r w:rsidRPr="003423A0">
              <w:rPr>
                <w:rFonts w:ascii="CorpoS" w:hAnsi="CorpoS"/>
                <w:sz w:val="22"/>
                <w:szCs w:val="22"/>
                <w:lang w:val="de-DE"/>
              </w:rPr>
              <w:t xml:space="preserve">          davon ziviles </w:t>
            </w:r>
            <w:proofErr w:type="spellStart"/>
            <w:r w:rsidRPr="003423A0">
              <w:rPr>
                <w:rFonts w:ascii="CorpoS" w:hAnsi="CorpoS"/>
                <w:sz w:val="22"/>
                <w:szCs w:val="22"/>
                <w:lang w:val="de-DE"/>
              </w:rPr>
              <w:t>Triebwerksg</w:t>
            </w:r>
            <w:r w:rsidRPr="00AB6495">
              <w:rPr>
                <w:rFonts w:ascii="CorpoS" w:hAnsi="CorpoS"/>
                <w:sz w:val="22"/>
                <w:szCs w:val="22"/>
              </w:rPr>
              <w:t>eschäft</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537,4</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578,</w:t>
            </w:r>
            <w:r w:rsidR="00275485">
              <w:rPr>
                <w:rFonts w:ascii="CorpoS" w:hAnsi="CorpoS" w:cs="Arial"/>
                <w:sz w:val="22"/>
                <w:szCs w:val="22"/>
              </w:rPr>
              <w:t>6</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1.738,3</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1.821,4</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+ 4,8 %</w:t>
            </w:r>
          </w:p>
        </w:tc>
      </w:tr>
      <w:tr w:rsidR="00160513" w:rsidRPr="00AB6495" w:rsidTr="00126044">
        <w:tc>
          <w:tcPr>
            <w:tcW w:w="3969" w:type="dxa"/>
            <w:tcBorders>
              <w:right w:val="single" w:sz="4" w:space="0" w:color="auto"/>
            </w:tcBorders>
            <w:shd w:val="clear" w:color="auto" w:fill="auto"/>
          </w:tcPr>
          <w:p w:rsidR="00160513" w:rsidRPr="00AB6495" w:rsidRDefault="00160513" w:rsidP="00126044">
            <w:pPr>
              <w:rPr>
                <w:rFonts w:ascii="CorpoS" w:hAnsi="CorpoS"/>
                <w:sz w:val="22"/>
                <w:szCs w:val="22"/>
              </w:rPr>
            </w:pPr>
            <w:r w:rsidRPr="00AB6495">
              <w:rPr>
                <w:rFonts w:ascii="CorpoS" w:hAnsi="CorpoS"/>
                <w:sz w:val="22"/>
                <w:szCs w:val="22"/>
              </w:rPr>
              <w:t xml:space="preserve">          </w:t>
            </w:r>
            <w:proofErr w:type="spellStart"/>
            <w:r w:rsidRPr="00AB6495">
              <w:rPr>
                <w:rFonts w:ascii="CorpoS" w:hAnsi="CorpoS"/>
                <w:sz w:val="22"/>
                <w:szCs w:val="22"/>
              </w:rPr>
              <w:t>davon</w:t>
            </w:r>
            <w:proofErr w:type="spellEnd"/>
            <w:r w:rsidRPr="00AB6495">
              <w:rPr>
                <w:rFonts w:ascii="CorpoS" w:hAnsi="CorpoS"/>
                <w:sz w:val="22"/>
                <w:szCs w:val="22"/>
              </w:rPr>
              <w:t xml:space="preserve"> </w:t>
            </w:r>
            <w:proofErr w:type="spellStart"/>
            <w:r w:rsidRPr="00AB6495">
              <w:rPr>
                <w:rFonts w:ascii="CorpoS" w:hAnsi="CorpoS"/>
                <w:sz w:val="22"/>
                <w:szCs w:val="22"/>
              </w:rPr>
              <w:t>milit</w:t>
            </w:r>
            <w:proofErr w:type="spellEnd"/>
            <w:r w:rsidRPr="00AB6495">
              <w:rPr>
                <w:rFonts w:ascii="CorpoS" w:hAnsi="CorpoS"/>
                <w:sz w:val="22"/>
                <w:szCs w:val="22"/>
              </w:rPr>
              <w:t xml:space="preserve">. </w:t>
            </w:r>
            <w:proofErr w:type="spellStart"/>
            <w:r w:rsidRPr="00AB6495">
              <w:rPr>
                <w:rFonts w:ascii="CorpoS" w:hAnsi="CorpoS"/>
                <w:sz w:val="22"/>
                <w:szCs w:val="22"/>
              </w:rPr>
              <w:t>Triebwerksgeschäft</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116,6</w:t>
            </w:r>
          </w:p>
        </w:tc>
        <w:tc>
          <w:tcPr>
            <w:tcW w:w="1134" w:type="dxa"/>
            <w:tcBorders>
              <w:left w:val="single" w:sz="4" w:space="0" w:color="auto"/>
              <w:right w:val="single" w:sz="18" w:space="0" w:color="auto"/>
            </w:tcBorders>
            <w:vAlign w:val="center"/>
          </w:tcPr>
          <w:p w:rsidR="00160513" w:rsidRDefault="00275485" w:rsidP="00275485">
            <w:pPr>
              <w:ind w:firstLineChars="100" w:firstLine="220"/>
              <w:jc w:val="right"/>
              <w:rPr>
                <w:rFonts w:ascii="CorpoS" w:hAnsi="CorpoS" w:cs="Arial"/>
                <w:sz w:val="22"/>
                <w:szCs w:val="22"/>
              </w:rPr>
            </w:pPr>
            <w:r>
              <w:rPr>
                <w:rFonts w:ascii="CorpoS" w:hAnsi="CorpoS" w:cs="Arial"/>
                <w:sz w:val="22"/>
                <w:szCs w:val="22"/>
              </w:rPr>
              <w:t>99</w:t>
            </w:r>
            <w:r w:rsidR="00160513">
              <w:rPr>
                <w:rFonts w:ascii="CorpoS" w:hAnsi="CorpoS" w:cs="Arial"/>
                <w:sz w:val="22"/>
                <w:szCs w:val="22"/>
              </w:rPr>
              <w:t>,</w:t>
            </w:r>
            <w:r>
              <w:rPr>
                <w:rFonts w:ascii="CorpoS" w:hAnsi="CorpoS" w:cs="Arial"/>
                <w:sz w:val="22"/>
                <w:szCs w:val="22"/>
              </w:rPr>
              <w:t>0</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356,8</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271,5</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- 23,9 %</w:t>
            </w:r>
          </w:p>
        </w:tc>
      </w:tr>
      <w:tr w:rsidR="00160513" w:rsidRPr="00AB6495" w:rsidTr="00126044">
        <w:tc>
          <w:tcPr>
            <w:tcW w:w="3969" w:type="dxa"/>
            <w:tcBorders>
              <w:right w:val="single" w:sz="4" w:space="0" w:color="auto"/>
            </w:tcBorders>
            <w:shd w:val="clear" w:color="auto" w:fill="auto"/>
          </w:tcPr>
          <w:p w:rsidR="00160513" w:rsidRPr="00AB6495" w:rsidRDefault="00160513" w:rsidP="00126044">
            <w:pPr>
              <w:rPr>
                <w:rFonts w:ascii="CorpoS" w:hAnsi="CorpoS"/>
                <w:sz w:val="22"/>
                <w:szCs w:val="22"/>
              </w:rPr>
            </w:pPr>
            <w:r w:rsidRPr="00AB6495">
              <w:rPr>
                <w:rFonts w:ascii="CorpoS" w:hAnsi="CorpoS"/>
                <w:sz w:val="22"/>
                <w:szCs w:val="22"/>
              </w:rPr>
              <w:t xml:space="preserve">   </w:t>
            </w:r>
            <w:proofErr w:type="spellStart"/>
            <w:r w:rsidRPr="00AB6495">
              <w:rPr>
                <w:rFonts w:ascii="CorpoS" w:hAnsi="CorpoS"/>
                <w:sz w:val="22"/>
                <w:szCs w:val="22"/>
              </w:rPr>
              <w:t>davon</w:t>
            </w:r>
            <w:proofErr w:type="spellEnd"/>
            <w:r w:rsidRPr="00AB6495">
              <w:rPr>
                <w:rFonts w:ascii="CorpoS" w:hAnsi="CorpoS"/>
                <w:sz w:val="22"/>
                <w:szCs w:val="22"/>
              </w:rPr>
              <w:t xml:space="preserve"> </w:t>
            </w:r>
            <w:proofErr w:type="spellStart"/>
            <w:r w:rsidRPr="00AB6495">
              <w:rPr>
                <w:rFonts w:ascii="CorpoS" w:hAnsi="CorpoS"/>
                <w:sz w:val="22"/>
                <w:szCs w:val="22"/>
              </w:rPr>
              <w:t>zivile</w:t>
            </w:r>
            <w:proofErr w:type="spellEnd"/>
            <w:r w:rsidRPr="00AB6495">
              <w:rPr>
                <w:rFonts w:ascii="CorpoS" w:hAnsi="CorpoS"/>
                <w:sz w:val="22"/>
                <w:szCs w:val="22"/>
              </w:rPr>
              <w:t xml:space="preserve"> </w:t>
            </w:r>
            <w:proofErr w:type="spellStart"/>
            <w:r w:rsidRPr="00AB6495">
              <w:rPr>
                <w:rFonts w:ascii="CorpoS" w:hAnsi="CorpoS"/>
                <w:sz w:val="22"/>
                <w:szCs w:val="22"/>
              </w:rPr>
              <w:t>Instandhaltung</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475,0</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546,5</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1.368,3</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1.727,5</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+ 26,3 %</w:t>
            </w:r>
          </w:p>
        </w:tc>
      </w:tr>
      <w:tr w:rsidR="00160513" w:rsidRPr="00AB6495" w:rsidTr="00126044">
        <w:tc>
          <w:tcPr>
            <w:tcW w:w="3969" w:type="dxa"/>
            <w:tcBorders>
              <w:right w:val="single" w:sz="4" w:space="0" w:color="auto"/>
            </w:tcBorders>
            <w:shd w:val="clear" w:color="auto" w:fill="auto"/>
          </w:tcPr>
          <w:p w:rsidR="00160513" w:rsidRPr="00AB6495" w:rsidRDefault="00160513" w:rsidP="00126044">
            <w:pPr>
              <w:rPr>
                <w:rFonts w:ascii="CorpoS" w:hAnsi="CorpoS"/>
                <w:sz w:val="22"/>
                <w:szCs w:val="22"/>
              </w:rPr>
            </w:pPr>
            <w:r w:rsidRPr="00AB6495">
              <w:rPr>
                <w:rFonts w:ascii="CorpoS" w:hAnsi="CorpoS"/>
                <w:sz w:val="22"/>
                <w:szCs w:val="22"/>
              </w:rPr>
              <w:t>EBIT (</w:t>
            </w:r>
            <w:proofErr w:type="spellStart"/>
            <w:r>
              <w:rPr>
                <w:rFonts w:ascii="CorpoS" w:hAnsi="CorpoS"/>
                <w:sz w:val="22"/>
                <w:szCs w:val="22"/>
              </w:rPr>
              <w:t>bereinigt</w:t>
            </w:r>
            <w:proofErr w:type="spellEnd"/>
            <w:r w:rsidRPr="00AB6495">
              <w:rPr>
                <w:rFonts w:ascii="CorpoS" w:hAnsi="CorpoS"/>
                <w:sz w:val="22"/>
                <w:szCs w:val="22"/>
              </w:rPr>
              <w:t>)</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139,7</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129,8</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393,8</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450,6</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+ 14,4 %</w:t>
            </w:r>
          </w:p>
        </w:tc>
      </w:tr>
      <w:tr w:rsidR="00160513" w:rsidRPr="00AB6495" w:rsidTr="00126044">
        <w:tc>
          <w:tcPr>
            <w:tcW w:w="3969" w:type="dxa"/>
            <w:tcBorders>
              <w:right w:val="single" w:sz="4" w:space="0" w:color="auto"/>
            </w:tcBorders>
            <w:shd w:val="clear" w:color="auto" w:fill="auto"/>
          </w:tcPr>
          <w:p w:rsidR="00160513" w:rsidRPr="00AB6495" w:rsidRDefault="00160513" w:rsidP="00126044">
            <w:pPr>
              <w:rPr>
                <w:rFonts w:ascii="CorpoS" w:hAnsi="CorpoS"/>
                <w:sz w:val="22"/>
                <w:szCs w:val="22"/>
              </w:rPr>
            </w:pPr>
            <w:r w:rsidRPr="00AB6495">
              <w:rPr>
                <w:rFonts w:ascii="CorpoS" w:hAnsi="CorpoS"/>
                <w:sz w:val="22"/>
                <w:szCs w:val="22"/>
              </w:rPr>
              <w:t xml:space="preserve">   </w:t>
            </w:r>
            <w:proofErr w:type="spellStart"/>
            <w:r w:rsidRPr="00AB6495">
              <w:rPr>
                <w:rFonts w:ascii="CorpoS" w:hAnsi="CorpoS"/>
                <w:sz w:val="22"/>
                <w:szCs w:val="22"/>
              </w:rPr>
              <w:t>davon</w:t>
            </w:r>
            <w:proofErr w:type="spellEnd"/>
            <w:r w:rsidRPr="00AB6495">
              <w:rPr>
                <w:rFonts w:ascii="CorpoS" w:hAnsi="CorpoS"/>
                <w:sz w:val="22"/>
                <w:szCs w:val="22"/>
              </w:rPr>
              <w:t xml:space="preserve"> OEM-</w:t>
            </w:r>
            <w:proofErr w:type="spellStart"/>
            <w:r w:rsidRPr="00AB6495">
              <w:rPr>
                <w:rFonts w:ascii="CorpoS" w:hAnsi="CorpoS"/>
                <w:sz w:val="22"/>
                <w:szCs w:val="22"/>
              </w:rPr>
              <w:t>Geschäft</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95,0</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86,5</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264,5</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303,3</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+ 14,7 %</w:t>
            </w:r>
          </w:p>
        </w:tc>
      </w:tr>
      <w:tr w:rsidR="00160513" w:rsidRPr="00AB6495" w:rsidTr="00126044">
        <w:tc>
          <w:tcPr>
            <w:tcW w:w="3969" w:type="dxa"/>
            <w:tcBorders>
              <w:right w:val="single" w:sz="4" w:space="0" w:color="auto"/>
            </w:tcBorders>
            <w:shd w:val="clear" w:color="auto" w:fill="auto"/>
          </w:tcPr>
          <w:p w:rsidR="00160513" w:rsidRPr="00AB6495" w:rsidRDefault="00160513" w:rsidP="00126044">
            <w:pPr>
              <w:rPr>
                <w:rFonts w:ascii="CorpoS" w:hAnsi="CorpoS"/>
                <w:sz w:val="22"/>
                <w:szCs w:val="22"/>
              </w:rPr>
            </w:pPr>
            <w:r w:rsidRPr="00AB6495">
              <w:rPr>
                <w:rFonts w:ascii="CorpoS" w:hAnsi="CorpoS"/>
                <w:sz w:val="22"/>
                <w:szCs w:val="22"/>
              </w:rPr>
              <w:t xml:space="preserve">   </w:t>
            </w:r>
            <w:proofErr w:type="spellStart"/>
            <w:r w:rsidRPr="00AB6495">
              <w:rPr>
                <w:rFonts w:ascii="CorpoS" w:hAnsi="CorpoS"/>
                <w:sz w:val="22"/>
                <w:szCs w:val="22"/>
              </w:rPr>
              <w:t>davon</w:t>
            </w:r>
            <w:proofErr w:type="spellEnd"/>
            <w:r w:rsidRPr="00AB6495">
              <w:rPr>
                <w:rFonts w:ascii="CorpoS" w:hAnsi="CorpoS"/>
                <w:sz w:val="22"/>
                <w:szCs w:val="22"/>
              </w:rPr>
              <w:t xml:space="preserve"> </w:t>
            </w:r>
            <w:proofErr w:type="spellStart"/>
            <w:r w:rsidRPr="00AB6495">
              <w:rPr>
                <w:rFonts w:ascii="CorpoS" w:hAnsi="CorpoS"/>
                <w:sz w:val="22"/>
                <w:szCs w:val="22"/>
              </w:rPr>
              <w:t>zivile</w:t>
            </w:r>
            <w:proofErr w:type="spellEnd"/>
            <w:r w:rsidRPr="00AB6495">
              <w:rPr>
                <w:rFonts w:ascii="CorpoS" w:hAnsi="CorpoS"/>
                <w:sz w:val="22"/>
                <w:szCs w:val="22"/>
              </w:rPr>
              <w:t xml:space="preserve"> </w:t>
            </w:r>
            <w:proofErr w:type="spellStart"/>
            <w:r w:rsidRPr="00AB6495">
              <w:rPr>
                <w:rFonts w:ascii="CorpoS" w:hAnsi="CorpoS"/>
                <w:sz w:val="22"/>
                <w:szCs w:val="22"/>
              </w:rPr>
              <w:t>Instandhaltung</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44,5</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43,1</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129,0</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146,8</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+ 13,8 %</w:t>
            </w:r>
          </w:p>
        </w:tc>
      </w:tr>
      <w:tr w:rsidR="00160513" w:rsidRPr="002C3218" w:rsidDel="0033104F" w:rsidTr="00126044">
        <w:tc>
          <w:tcPr>
            <w:tcW w:w="3969" w:type="dxa"/>
            <w:tcBorders>
              <w:right w:val="single" w:sz="4" w:space="0" w:color="auto"/>
            </w:tcBorders>
            <w:shd w:val="clear" w:color="auto" w:fill="auto"/>
          </w:tcPr>
          <w:p w:rsidR="00160513" w:rsidRPr="00D40215" w:rsidRDefault="00160513" w:rsidP="00126044">
            <w:pPr>
              <w:rPr>
                <w:rFonts w:ascii="CorpoS" w:hAnsi="CorpoS"/>
                <w:i/>
                <w:sz w:val="22"/>
                <w:szCs w:val="22"/>
              </w:rPr>
            </w:pPr>
            <w:r w:rsidRPr="00D40215">
              <w:rPr>
                <w:rFonts w:ascii="CorpoS" w:hAnsi="CorpoS"/>
                <w:i/>
                <w:sz w:val="22"/>
                <w:szCs w:val="22"/>
              </w:rPr>
              <w:t>EBIT-Marge (</w:t>
            </w:r>
            <w:proofErr w:type="spellStart"/>
            <w:r>
              <w:rPr>
                <w:rFonts w:ascii="CorpoS" w:hAnsi="CorpoS"/>
                <w:i/>
                <w:sz w:val="22"/>
                <w:szCs w:val="22"/>
              </w:rPr>
              <w:t>bereinigt</w:t>
            </w:r>
            <w:proofErr w:type="spellEnd"/>
            <w:r w:rsidRPr="00D40215">
              <w:rPr>
                <w:rFonts w:ascii="CorpoS" w:hAnsi="CorpoS"/>
                <w:i/>
                <w:sz w:val="22"/>
                <w:szCs w:val="22"/>
              </w:rPr>
              <w:t>)</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12,7%</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10,8%</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11,6%</w:t>
            </w:r>
          </w:p>
        </w:tc>
        <w:tc>
          <w:tcPr>
            <w:tcW w:w="1276" w:type="dxa"/>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12,0%</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 </w:t>
            </w:r>
          </w:p>
        </w:tc>
      </w:tr>
      <w:tr w:rsidR="00160513" w:rsidRPr="002C3218" w:rsidDel="0033104F" w:rsidTr="00126044">
        <w:tc>
          <w:tcPr>
            <w:tcW w:w="3969" w:type="dxa"/>
            <w:tcBorders>
              <w:right w:val="single" w:sz="4" w:space="0" w:color="auto"/>
            </w:tcBorders>
            <w:shd w:val="clear" w:color="auto" w:fill="auto"/>
          </w:tcPr>
          <w:p w:rsidR="00160513" w:rsidRPr="00D40215" w:rsidRDefault="00160513" w:rsidP="00126044">
            <w:pPr>
              <w:tabs>
                <w:tab w:val="left" w:pos="176"/>
              </w:tabs>
              <w:rPr>
                <w:rFonts w:ascii="CorpoS" w:hAnsi="CorpoS"/>
                <w:i/>
                <w:sz w:val="22"/>
                <w:szCs w:val="22"/>
              </w:rPr>
            </w:pPr>
            <w:r w:rsidRPr="00D40215">
              <w:rPr>
                <w:rFonts w:ascii="CorpoS" w:hAnsi="CorpoS"/>
                <w:i/>
                <w:sz w:val="22"/>
                <w:szCs w:val="22"/>
              </w:rPr>
              <w:t xml:space="preserve">   </w:t>
            </w:r>
            <w:proofErr w:type="spellStart"/>
            <w:r w:rsidRPr="00D40215">
              <w:rPr>
                <w:rFonts w:ascii="CorpoS" w:hAnsi="CorpoS"/>
                <w:i/>
                <w:sz w:val="22"/>
                <w:szCs w:val="22"/>
              </w:rPr>
              <w:t>im</w:t>
            </w:r>
            <w:proofErr w:type="spellEnd"/>
            <w:r w:rsidRPr="00D40215">
              <w:rPr>
                <w:rFonts w:ascii="CorpoS" w:hAnsi="CorpoS"/>
                <w:i/>
                <w:sz w:val="22"/>
                <w:szCs w:val="22"/>
              </w:rPr>
              <w:t xml:space="preserve"> OEM-</w:t>
            </w:r>
            <w:proofErr w:type="spellStart"/>
            <w:r w:rsidRPr="00D40215">
              <w:rPr>
                <w:rFonts w:ascii="CorpoS" w:hAnsi="CorpoS"/>
                <w:i/>
                <w:sz w:val="22"/>
                <w:szCs w:val="22"/>
              </w:rPr>
              <w:t>Geschäft</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14,5%</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12,8%</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12,6%</w:t>
            </w:r>
          </w:p>
        </w:tc>
        <w:tc>
          <w:tcPr>
            <w:tcW w:w="1276" w:type="dxa"/>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14,5%</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 </w:t>
            </w:r>
          </w:p>
        </w:tc>
      </w:tr>
      <w:tr w:rsidR="00160513" w:rsidRPr="002C3218" w:rsidDel="0033104F" w:rsidTr="00126044">
        <w:tc>
          <w:tcPr>
            <w:tcW w:w="3969" w:type="dxa"/>
            <w:tcBorders>
              <w:right w:val="single" w:sz="4" w:space="0" w:color="auto"/>
            </w:tcBorders>
            <w:shd w:val="clear" w:color="auto" w:fill="auto"/>
          </w:tcPr>
          <w:p w:rsidR="00160513" w:rsidRPr="00D40215" w:rsidRDefault="00160513" w:rsidP="00126044">
            <w:pPr>
              <w:rPr>
                <w:rFonts w:ascii="CorpoS" w:hAnsi="CorpoS"/>
                <w:i/>
                <w:sz w:val="22"/>
                <w:szCs w:val="22"/>
              </w:rPr>
            </w:pPr>
            <w:r w:rsidRPr="00D40215">
              <w:rPr>
                <w:rFonts w:ascii="CorpoS" w:hAnsi="CorpoS"/>
                <w:i/>
                <w:sz w:val="22"/>
                <w:szCs w:val="22"/>
              </w:rPr>
              <w:t xml:space="preserve">   in der </w:t>
            </w:r>
            <w:proofErr w:type="spellStart"/>
            <w:r w:rsidRPr="00D40215">
              <w:rPr>
                <w:rFonts w:ascii="CorpoS" w:hAnsi="CorpoS"/>
                <w:i/>
                <w:sz w:val="22"/>
                <w:szCs w:val="22"/>
              </w:rPr>
              <w:t>zivilen</w:t>
            </w:r>
            <w:proofErr w:type="spellEnd"/>
            <w:r w:rsidRPr="00D40215">
              <w:rPr>
                <w:rFonts w:ascii="CorpoS" w:hAnsi="CorpoS"/>
                <w:i/>
                <w:sz w:val="22"/>
                <w:szCs w:val="22"/>
              </w:rPr>
              <w:t xml:space="preserve"> </w:t>
            </w:r>
            <w:proofErr w:type="spellStart"/>
            <w:r w:rsidRPr="00D40215">
              <w:rPr>
                <w:rFonts w:ascii="CorpoS" w:hAnsi="CorpoS"/>
                <w:i/>
                <w:sz w:val="22"/>
                <w:szCs w:val="22"/>
              </w:rPr>
              <w:t>Instandhaltung</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9,4%</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7,9%</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9,4%</w:t>
            </w:r>
          </w:p>
        </w:tc>
        <w:tc>
          <w:tcPr>
            <w:tcW w:w="1276" w:type="dxa"/>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8,5%</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rPr>
                <w:rFonts w:ascii="CorpoS" w:hAnsi="CorpoS"/>
                <w:sz w:val="22"/>
                <w:szCs w:val="22"/>
              </w:rPr>
            </w:pPr>
            <w:r w:rsidRPr="00D40215">
              <w:rPr>
                <w:rFonts w:ascii="CorpoS" w:hAnsi="CorpoS"/>
                <w:sz w:val="22"/>
                <w:szCs w:val="22"/>
              </w:rPr>
              <w:t>Net Income (</w:t>
            </w:r>
            <w:proofErr w:type="spellStart"/>
            <w:r>
              <w:rPr>
                <w:rFonts w:ascii="CorpoS" w:hAnsi="CorpoS"/>
                <w:sz w:val="22"/>
                <w:szCs w:val="22"/>
              </w:rPr>
              <w:t>bereinigt</w:t>
            </w:r>
            <w:proofErr w:type="spellEnd"/>
            <w:r w:rsidRPr="00D40215">
              <w:rPr>
                <w:rFonts w:ascii="CorpoS" w:hAnsi="CorpoS"/>
                <w:sz w:val="22"/>
                <w:szCs w:val="22"/>
              </w:rPr>
              <w:t>)</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97,3</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92,9</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273,4</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320,4</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+ 17,2 %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rPr>
                <w:rFonts w:ascii="CorpoS" w:hAnsi="CorpoS"/>
                <w:sz w:val="22"/>
                <w:szCs w:val="22"/>
              </w:rPr>
            </w:pPr>
            <w:r w:rsidRPr="00D40215">
              <w:rPr>
                <w:rFonts w:ascii="CorpoS" w:hAnsi="CorpoS"/>
                <w:sz w:val="22"/>
                <w:szCs w:val="22"/>
              </w:rPr>
              <w:t>Net Income (reported)</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83,8</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80,6</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242,4</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297,3</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+ 22,6 %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rPr>
                <w:rFonts w:ascii="CorpoS" w:hAnsi="CorpoS"/>
                <w:sz w:val="22"/>
                <w:szCs w:val="22"/>
                <w:lang w:val="de-DE"/>
              </w:rPr>
            </w:pPr>
            <w:r w:rsidRPr="00D40215">
              <w:rPr>
                <w:rFonts w:ascii="CorpoS" w:hAnsi="CorpoS"/>
                <w:sz w:val="22"/>
                <w:szCs w:val="22"/>
                <w:lang w:val="de-DE"/>
              </w:rPr>
              <w:t>Ergebnis je Aktie (</w:t>
            </w:r>
            <w:proofErr w:type="spellStart"/>
            <w:r w:rsidRPr="00D40215">
              <w:rPr>
                <w:rFonts w:ascii="CorpoS" w:hAnsi="CorpoS"/>
                <w:sz w:val="22"/>
                <w:szCs w:val="22"/>
                <w:lang w:val="de-DE"/>
              </w:rPr>
              <w:t>unverwässert</w:t>
            </w:r>
            <w:proofErr w:type="spellEnd"/>
            <w:r w:rsidRPr="00D40215">
              <w:rPr>
                <w:rFonts w:ascii="CorpoS" w:hAnsi="CorpoS"/>
                <w:sz w:val="22"/>
                <w:szCs w:val="22"/>
                <w:lang w:val="de-DE"/>
              </w:rPr>
              <w:t xml:space="preserve">, </w:t>
            </w:r>
            <w:proofErr w:type="spellStart"/>
            <w:r w:rsidRPr="00D40215">
              <w:rPr>
                <w:rFonts w:ascii="CorpoS" w:hAnsi="CorpoS"/>
                <w:sz w:val="22"/>
                <w:szCs w:val="22"/>
                <w:lang w:val="de-DE"/>
              </w:rPr>
              <w:t>reported</w:t>
            </w:r>
            <w:proofErr w:type="spellEnd"/>
            <w:r w:rsidRPr="00D40215">
              <w:rPr>
                <w:rFonts w:ascii="CorpoS" w:hAnsi="CorpoS"/>
                <w:sz w:val="22"/>
                <w:szCs w:val="22"/>
                <w:lang w:val="de-DE"/>
              </w:rPr>
              <w:t>)</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1,6</w:t>
            </w:r>
            <w:r w:rsidR="00275485">
              <w:rPr>
                <w:rFonts w:ascii="CorpoS" w:hAnsi="CorpoS" w:cs="Arial"/>
                <w:sz w:val="22"/>
                <w:szCs w:val="22"/>
              </w:rPr>
              <w:t>2</w:t>
            </w:r>
          </w:p>
        </w:tc>
        <w:tc>
          <w:tcPr>
            <w:tcW w:w="1134" w:type="dxa"/>
            <w:tcBorders>
              <w:left w:val="single" w:sz="4" w:space="0" w:color="auto"/>
              <w:right w:val="single" w:sz="18" w:space="0" w:color="auto"/>
            </w:tcBorders>
            <w:vAlign w:val="center"/>
          </w:tcPr>
          <w:p w:rsidR="00160513" w:rsidRDefault="00160513" w:rsidP="00275485">
            <w:pPr>
              <w:ind w:firstLineChars="100" w:firstLine="220"/>
              <w:jc w:val="right"/>
              <w:rPr>
                <w:rFonts w:ascii="CorpoS" w:hAnsi="CorpoS" w:cs="Arial"/>
                <w:sz w:val="22"/>
                <w:szCs w:val="22"/>
              </w:rPr>
            </w:pPr>
            <w:r>
              <w:rPr>
                <w:rFonts w:ascii="CorpoS" w:hAnsi="CorpoS" w:cs="Arial"/>
                <w:sz w:val="22"/>
                <w:szCs w:val="22"/>
              </w:rPr>
              <w:t>1,5</w:t>
            </w:r>
            <w:r w:rsidR="00275485">
              <w:rPr>
                <w:rFonts w:ascii="CorpoS" w:hAnsi="CorpoS" w:cs="Arial"/>
                <w:sz w:val="22"/>
                <w:szCs w:val="22"/>
              </w:rPr>
              <w:t>5</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4,72</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5,74</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+ 21,6 %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rPr>
                <w:rFonts w:ascii="CorpoS" w:hAnsi="CorpoS"/>
                <w:sz w:val="22"/>
                <w:szCs w:val="22"/>
              </w:rPr>
            </w:pPr>
            <w:r w:rsidRPr="00D40215">
              <w:rPr>
                <w:rFonts w:ascii="CorpoS" w:hAnsi="CorpoS"/>
                <w:sz w:val="22"/>
                <w:szCs w:val="22"/>
              </w:rPr>
              <w:t xml:space="preserve">Free </w:t>
            </w:r>
            <w:proofErr w:type="spellStart"/>
            <w:r w:rsidRPr="00D40215">
              <w:rPr>
                <w:rFonts w:ascii="CorpoS" w:hAnsi="CorpoS"/>
                <w:sz w:val="22"/>
                <w:szCs w:val="22"/>
              </w:rPr>
              <w:t>Cashflow</w:t>
            </w:r>
            <w:proofErr w:type="spellEnd"/>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5,2</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35,5</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75,0</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119,1</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+ 58,8 %</w:t>
            </w:r>
          </w:p>
        </w:tc>
      </w:tr>
      <w:tr w:rsidR="00160513" w:rsidRPr="002C3218" w:rsidTr="00126044">
        <w:tc>
          <w:tcPr>
            <w:tcW w:w="3969" w:type="dxa"/>
            <w:tcBorders>
              <w:right w:val="single" w:sz="4" w:space="0" w:color="auto"/>
            </w:tcBorders>
            <w:shd w:val="clear" w:color="auto" w:fill="auto"/>
          </w:tcPr>
          <w:p w:rsidR="00160513" w:rsidRPr="001E56B3" w:rsidRDefault="00160513" w:rsidP="00126044">
            <w:pPr>
              <w:rPr>
                <w:rFonts w:ascii="CorpoS" w:hAnsi="CorpoS"/>
                <w:sz w:val="22"/>
                <w:szCs w:val="22"/>
                <w:lang w:val="de-DE"/>
              </w:rPr>
            </w:pPr>
            <w:r w:rsidRPr="001E56B3">
              <w:rPr>
                <w:rFonts w:ascii="CorpoS" w:hAnsi="CorpoS"/>
                <w:sz w:val="22"/>
                <w:szCs w:val="22"/>
                <w:lang w:val="de-DE"/>
              </w:rPr>
              <w:t>Forschungs- und Entwicklungs</w:t>
            </w:r>
            <w:r>
              <w:rPr>
                <w:rFonts w:ascii="CorpoS" w:hAnsi="CorpoS"/>
                <w:sz w:val="22"/>
                <w:szCs w:val="22"/>
                <w:lang w:val="de-DE"/>
              </w:rPr>
              <w:t>kosten</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44,3</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51,7</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157,9</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162,4</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+ 2,8 %</w:t>
            </w:r>
          </w:p>
        </w:tc>
      </w:tr>
      <w:tr w:rsidR="00160513" w:rsidRPr="002C3218" w:rsidTr="00126044">
        <w:tc>
          <w:tcPr>
            <w:tcW w:w="3969" w:type="dxa"/>
            <w:tcBorders>
              <w:right w:val="single" w:sz="4" w:space="0" w:color="auto"/>
            </w:tcBorders>
            <w:shd w:val="clear" w:color="auto" w:fill="auto"/>
          </w:tcPr>
          <w:p w:rsidR="00160513" w:rsidRPr="001E56B3" w:rsidRDefault="00160513" w:rsidP="00126044">
            <w:pPr>
              <w:rPr>
                <w:rFonts w:ascii="CorpoS" w:hAnsi="CorpoS"/>
                <w:sz w:val="22"/>
                <w:szCs w:val="22"/>
                <w:lang w:val="de-DE"/>
              </w:rPr>
            </w:pPr>
            <w:r w:rsidRPr="001E56B3">
              <w:rPr>
                <w:rFonts w:ascii="CorpoS" w:hAnsi="CorpoS"/>
                <w:sz w:val="22"/>
                <w:szCs w:val="22"/>
                <w:lang w:val="de-DE"/>
              </w:rPr>
              <w:t xml:space="preserve">   davon eigenfinanzierte F&amp;E</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35,9</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45,3</w:t>
            </w:r>
          </w:p>
        </w:tc>
        <w:tc>
          <w:tcPr>
            <w:tcW w:w="1276" w:type="dxa"/>
            <w:tcBorders>
              <w:lef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127,1</w:t>
            </w:r>
          </w:p>
        </w:tc>
        <w:tc>
          <w:tcPr>
            <w:tcW w:w="1276" w:type="dxa"/>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136,1</w:t>
            </w:r>
          </w:p>
        </w:tc>
        <w:tc>
          <w:tcPr>
            <w:tcW w:w="1418" w:type="dxa"/>
            <w:tcBorders>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+ 7,1 %</w:t>
            </w:r>
          </w:p>
        </w:tc>
      </w:tr>
      <w:tr w:rsidR="00160513" w:rsidRPr="002C3218" w:rsidTr="00126044">
        <w:tc>
          <w:tcPr>
            <w:tcW w:w="3969" w:type="dxa"/>
            <w:tcBorders>
              <w:bottom w:val="single" w:sz="4" w:space="0" w:color="auto"/>
              <w:right w:val="single" w:sz="4" w:space="0" w:color="auto"/>
            </w:tcBorders>
            <w:shd w:val="clear" w:color="auto" w:fill="auto"/>
          </w:tcPr>
          <w:p w:rsidR="00160513" w:rsidRPr="00D40215" w:rsidRDefault="00160513" w:rsidP="00126044">
            <w:pPr>
              <w:rPr>
                <w:rFonts w:ascii="CorpoS" w:hAnsi="CorpoS"/>
                <w:sz w:val="22"/>
                <w:szCs w:val="22"/>
              </w:rPr>
            </w:pPr>
            <w:r w:rsidRPr="001E56B3">
              <w:rPr>
                <w:rFonts w:ascii="CorpoS" w:hAnsi="CorpoS"/>
                <w:sz w:val="22"/>
                <w:szCs w:val="22"/>
                <w:lang w:val="de-DE"/>
              </w:rPr>
              <w:t xml:space="preserve">   davon f</w:t>
            </w:r>
            <w:proofErr w:type="spellStart"/>
            <w:r w:rsidRPr="00D40215">
              <w:rPr>
                <w:rFonts w:ascii="CorpoS" w:hAnsi="CorpoS"/>
                <w:sz w:val="22"/>
                <w:szCs w:val="22"/>
              </w:rPr>
              <w:t>remdfinanzierte</w:t>
            </w:r>
            <w:proofErr w:type="spellEnd"/>
            <w:r w:rsidRPr="00D40215">
              <w:rPr>
                <w:rFonts w:ascii="CorpoS" w:hAnsi="CorpoS"/>
                <w:sz w:val="22"/>
                <w:szCs w:val="22"/>
              </w:rPr>
              <w:t xml:space="preserve"> F&amp;E</w:t>
            </w:r>
          </w:p>
        </w:tc>
        <w:tc>
          <w:tcPr>
            <w:tcW w:w="1134" w:type="dxa"/>
            <w:tcBorders>
              <w:left w:val="single" w:sz="4" w:space="0" w:color="auto"/>
              <w:bottom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8,4</w:t>
            </w:r>
          </w:p>
        </w:tc>
        <w:tc>
          <w:tcPr>
            <w:tcW w:w="1134" w:type="dxa"/>
            <w:tcBorders>
              <w:left w:val="single" w:sz="4" w:space="0" w:color="auto"/>
              <w:bottom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6,4</w:t>
            </w:r>
          </w:p>
        </w:tc>
        <w:tc>
          <w:tcPr>
            <w:tcW w:w="1276" w:type="dxa"/>
            <w:tcBorders>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30,8</w:t>
            </w:r>
          </w:p>
        </w:tc>
        <w:tc>
          <w:tcPr>
            <w:tcW w:w="1276" w:type="dxa"/>
            <w:tcBorders>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26,3</w:t>
            </w:r>
          </w:p>
        </w:tc>
        <w:tc>
          <w:tcPr>
            <w:tcW w:w="1418" w:type="dxa"/>
            <w:tcBorders>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- 14,6 %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rPr>
                <w:rFonts w:ascii="CorpoS" w:hAnsi="CorpoS"/>
                <w:sz w:val="22"/>
                <w:szCs w:val="22"/>
                <w:lang w:val="de-DE"/>
              </w:rPr>
            </w:pPr>
            <w:r w:rsidRPr="00D40215">
              <w:rPr>
                <w:rFonts w:ascii="CorpoS" w:hAnsi="CorpoS"/>
                <w:i/>
                <w:sz w:val="22"/>
                <w:szCs w:val="22"/>
                <w:lang w:val="de-DE"/>
              </w:rPr>
              <w:t>eigenfinanzierte</w:t>
            </w:r>
            <w:r>
              <w:rPr>
                <w:rFonts w:ascii="CorpoS" w:hAnsi="CorpoS"/>
                <w:i/>
                <w:sz w:val="22"/>
                <w:szCs w:val="22"/>
                <w:lang w:val="de-DE"/>
              </w:rPr>
              <w:t>r</w:t>
            </w:r>
            <w:r w:rsidRPr="00D40215">
              <w:rPr>
                <w:rFonts w:ascii="CorpoS" w:hAnsi="CorpoS"/>
                <w:i/>
                <w:sz w:val="22"/>
                <w:szCs w:val="22"/>
                <w:lang w:val="de-DE"/>
              </w:rPr>
              <w:t xml:space="preserve"> F&amp;E</w:t>
            </w:r>
            <w:r>
              <w:rPr>
                <w:rFonts w:ascii="CorpoS" w:hAnsi="CorpoS"/>
                <w:i/>
                <w:sz w:val="22"/>
                <w:szCs w:val="22"/>
                <w:lang w:val="de-DE"/>
              </w:rPr>
              <w:t>-Aufwand</w:t>
            </w:r>
            <w:r w:rsidRPr="00D40215">
              <w:rPr>
                <w:rFonts w:ascii="CorpoS" w:hAnsi="CorpoS"/>
                <w:i/>
                <w:sz w:val="22"/>
                <w:szCs w:val="22"/>
                <w:lang w:val="de-DE"/>
              </w:rPr>
              <w:t xml:space="preserve"> gemäß GuV</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14,6</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18,5</w:t>
            </w:r>
          </w:p>
        </w:tc>
        <w:tc>
          <w:tcPr>
            <w:tcW w:w="1276" w:type="dxa"/>
            <w:tcBorders>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53,1</w:t>
            </w:r>
          </w:p>
        </w:tc>
        <w:tc>
          <w:tcPr>
            <w:tcW w:w="1276" w:type="dxa"/>
            <w:tcBorders>
              <w:bottom w:val="single" w:sz="4"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49,5</w:t>
            </w:r>
          </w:p>
        </w:tc>
        <w:tc>
          <w:tcPr>
            <w:tcW w:w="1418" w:type="dxa"/>
            <w:tcBorders>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i/>
                <w:iCs/>
                <w:sz w:val="22"/>
                <w:szCs w:val="22"/>
              </w:rPr>
            </w:pPr>
            <w:r>
              <w:rPr>
                <w:rFonts w:ascii="CorpoS" w:hAnsi="CorpoS" w:cs="Arial"/>
                <w:i/>
                <w:iCs/>
                <w:sz w:val="22"/>
                <w:szCs w:val="22"/>
              </w:rPr>
              <w:t>- 6,8 %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rPr>
                <w:rFonts w:ascii="CorpoS" w:hAnsi="CorpoS"/>
                <w:sz w:val="22"/>
                <w:szCs w:val="22"/>
              </w:rPr>
            </w:pPr>
            <w:proofErr w:type="spellStart"/>
            <w:r w:rsidRPr="00D40215">
              <w:rPr>
                <w:rFonts w:ascii="CorpoS" w:hAnsi="CorpoS"/>
                <w:sz w:val="22"/>
                <w:szCs w:val="22"/>
              </w:rPr>
              <w:t>Investitionen</w:t>
            </w:r>
            <w:proofErr w:type="spellEnd"/>
            <w:r w:rsidRPr="00D40215">
              <w:rPr>
                <w:rFonts w:ascii="CorpoS" w:hAnsi="CorpoS"/>
                <w:sz w:val="22"/>
                <w:szCs w:val="22"/>
              </w:rPr>
              <w:t xml:space="preserve"> in </w:t>
            </w:r>
            <w:proofErr w:type="spellStart"/>
            <w:r w:rsidRPr="00D40215">
              <w:rPr>
                <w:rFonts w:ascii="CorpoS" w:hAnsi="CorpoS"/>
                <w:sz w:val="22"/>
                <w:szCs w:val="22"/>
              </w:rPr>
              <w:t>Sachanlagen</w:t>
            </w:r>
            <w:proofErr w:type="spellEnd"/>
            <w:r>
              <w:rPr>
                <w:rFonts w:ascii="CorpoS" w:hAnsi="CorpoS"/>
                <w:sz w:val="22"/>
                <w:szCs w:val="22"/>
              </w:rPr>
              <w:t xml:space="preserve"> (</w:t>
            </w:r>
            <w:proofErr w:type="spellStart"/>
            <w:r>
              <w:rPr>
                <w:rFonts w:ascii="CorpoS" w:hAnsi="CorpoS"/>
                <w:sz w:val="22"/>
                <w:szCs w:val="22"/>
              </w:rPr>
              <w:t>netto</w:t>
            </w:r>
            <w:proofErr w:type="spellEnd"/>
            <w:r>
              <w:rPr>
                <w:rFonts w:ascii="CorpoS" w:hAnsi="CorpoS"/>
                <w:sz w:val="22"/>
                <w:szCs w:val="22"/>
              </w:rPr>
              <w:t>)</w:t>
            </w:r>
          </w:p>
        </w:tc>
        <w:tc>
          <w:tcPr>
            <w:tcW w:w="1134" w:type="dxa"/>
            <w:tcBorders>
              <w:left w:val="single" w:sz="4" w:space="0" w:color="auto"/>
              <w:right w:val="single" w:sz="4"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32,3</w:t>
            </w:r>
          </w:p>
        </w:tc>
        <w:tc>
          <w:tcPr>
            <w:tcW w:w="1134" w:type="dxa"/>
            <w:tcBorders>
              <w:left w:val="single" w:sz="4" w:space="0" w:color="auto"/>
              <w:right w:val="single" w:sz="18" w:space="0" w:color="auto"/>
            </w:tcBorders>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36,9</w:t>
            </w:r>
          </w:p>
        </w:tc>
        <w:tc>
          <w:tcPr>
            <w:tcW w:w="1276" w:type="dxa"/>
            <w:tcBorders>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91,5</w:t>
            </w:r>
          </w:p>
        </w:tc>
        <w:tc>
          <w:tcPr>
            <w:tcW w:w="1276" w:type="dxa"/>
            <w:tcBorders>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91,5</w:t>
            </w:r>
          </w:p>
        </w:tc>
        <w:tc>
          <w:tcPr>
            <w:tcW w:w="1418" w:type="dxa"/>
            <w:tcBorders>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+ 0,0 %</w:t>
            </w:r>
          </w:p>
        </w:tc>
      </w:tr>
      <w:tr w:rsidR="002C2460" w:rsidRPr="002C3218" w:rsidTr="00126044">
        <w:trPr>
          <w:trHeight w:val="81"/>
        </w:trPr>
        <w:tc>
          <w:tcPr>
            <w:tcW w:w="6237" w:type="dxa"/>
            <w:gridSpan w:val="3"/>
            <w:tcBorders>
              <w:right w:val="single" w:sz="18" w:space="0" w:color="auto"/>
            </w:tcBorders>
            <w:shd w:val="clear" w:color="auto" w:fill="auto"/>
          </w:tcPr>
          <w:p w:rsidR="002C2460" w:rsidRPr="00150467" w:rsidRDefault="002C2460" w:rsidP="00126044">
            <w:pPr>
              <w:jc w:val="right"/>
              <w:rPr>
                <w:rFonts w:ascii="CorpoS" w:hAnsi="CorpoS"/>
                <w:b/>
                <w:sz w:val="8"/>
                <w:szCs w:val="8"/>
              </w:rPr>
            </w:pPr>
          </w:p>
        </w:tc>
        <w:tc>
          <w:tcPr>
            <w:tcW w:w="3970" w:type="dxa"/>
            <w:gridSpan w:val="3"/>
            <w:tcBorders>
              <w:left w:val="single" w:sz="18" w:space="0" w:color="auto"/>
              <w:bottom w:val="single" w:sz="4" w:space="0" w:color="auto"/>
              <w:right w:val="single" w:sz="18" w:space="0" w:color="auto"/>
            </w:tcBorders>
            <w:shd w:val="clear" w:color="auto" w:fill="auto"/>
          </w:tcPr>
          <w:p w:rsidR="002C2460" w:rsidRPr="00150467" w:rsidRDefault="002C2460" w:rsidP="00126044">
            <w:pPr>
              <w:ind w:right="33"/>
              <w:jc w:val="right"/>
              <w:rPr>
                <w:rFonts w:ascii="CorpoS" w:hAnsi="CorpoS"/>
                <w:b/>
                <w:sz w:val="8"/>
                <w:szCs w:val="8"/>
              </w:rPr>
            </w:pPr>
          </w:p>
        </w:tc>
      </w:tr>
      <w:tr w:rsidR="002C2460" w:rsidRPr="002C2460" w:rsidTr="00126044">
        <w:tc>
          <w:tcPr>
            <w:tcW w:w="3969" w:type="dxa"/>
            <w:tcBorders>
              <w:right w:val="single" w:sz="4" w:space="0" w:color="auto"/>
            </w:tcBorders>
            <w:shd w:val="clear" w:color="auto" w:fill="auto"/>
          </w:tcPr>
          <w:p w:rsidR="002C2460" w:rsidRPr="00D40215" w:rsidRDefault="002C2460" w:rsidP="00126044">
            <w:pPr>
              <w:rPr>
                <w:rFonts w:ascii="CorpoS" w:hAnsi="CorpoS"/>
                <w:sz w:val="22"/>
                <w:szCs w:val="22"/>
              </w:rPr>
            </w:pPr>
          </w:p>
        </w:tc>
        <w:tc>
          <w:tcPr>
            <w:tcW w:w="1134" w:type="dxa"/>
            <w:tcBorders>
              <w:left w:val="single" w:sz="4" w:space="0" w:color="auto"/>
              <w:right w:val="single" w:sz="4" w:space="0" w:color="auto"/>
            </w:tcBorders>
          </w:tcPr>
          <w:p w:rsidR="002C2460" w:rsidRDefault="002C2460" w:rsidP="00126044">
            <w:pPr>
              <w:jc w:val="right"/>
              <w:rPr>
                <w:rFonts w:ascii="CorpoS" w:hAnsi="CorpoS"/>
                <w:b/>
                <w:sz w:val="22"/>
                <w:szCs w:val="22"/>
              </w:rPr>
            </w:pPr>
          </w:p>
        </w:tc>
        <w:tc>
          <w:tcPr>
            <w:tcW w:w="1134" w:type="dxa"/>
            <w:tcBorders>
              <w:left w:val="single" w:sz="4" w:space="0" w:color="auto"/>
              <w:right w:val="single" w:sz="18" w:space="0" w:color="auto"/>
            </w:tcBorders>
          </w:tcPr>
          <w:p w:rsidR="002C2460" w:rsidRDefault="002C2460" w:rsidP="00126044">
            <w:pPr>
              <w:jc w:val="right"/>
              <w:rPr>
                <w:rFonts w:ascii="CorpoS" w:hAnsi="CorpoS"/>
                <w:b/>
                <w:sz w:val="22"/>
                <w:szCs w:val="22"/>
              </w:rPr>
            </w:pPr>
          </w:p>
        </w:tc>
        <w:tc>
          <w:tcPr>
            <w:tcW w:w="1276" w:type="dxa"/>
            <w:tcBorders>
              <w:left w:val="single" w:sz="18" w:space="0" w:color="auto"/>
              <w:bottom w:val="single" w:sz="4" w:space="0" w:color="auto"/>
            </w:tcBorders>
            <w:shd w:val="clear" w:color="auto" w:fill="auto"/>
          </w:tcPr>
          <w:p w:rsidR="002C2460" w:rsidRPr="00D40215" w:rsidRDefault="002C2460" w:rsidP="00126044">
            <w:pPr>
              <w:jc w:val="right"/>
              <w:rPr>
                <w:rFonts w:ascii="CorpoS" w:hAnsi="CorpoS"/>
                <w:b/>
                <w:sz w:val="22"/>
                <w:szCs w:val="22"/>
              </w:rPr>
            </w:pPr>
            <w:r>
              <w:rPr>
                <w:rFonts w:ascii="CorpoS" w:hAnsi="CorpoS"/>
                <w:b/>
                <w:sz w:val="22"/>
                <w:szCs w:val="22"/>
              </w:rPr>
              <w:t xml:space="preserve">31. </w:t>
            </w:r>
            <w:proofErr w:type="spellStart"/>
            <w:r>
              <w:rPr>
                <w:rFonts w:ascii="CorpoS" w:hAnsi="CorpoS"/>
                <w:b/>
                <w:sz w:val="22"/>
                <w:szCs w:val="22"/>
              </w:rPr>
              <w:t>Dez</w:t>
            </w:r>
            <w:proofErr w:type="spellEnd"/>
            <w:r>
              <w:rPr>
                <w:rFonts w:ascii="CorpoS" w:hAnsi="CorpoS"/>
                <w:b/>
                <w:sz w:val="22"/>
                <w:szCs w:val="22"/>
              </w:rPr>
              <w:t>. 2016</w:t>
            </w:r>
          </w:p>
        </w:tc>
        <w:tc>
          <w:tcPr>
            <w:tcW w:w="1276" w:type="dxa"/>
            <w:tcBorders>
              <w:bottom w:val="single" w:sz="4" w:space="0" w:color="auto"/>
            </w:tcBorders>
            <w:shd w:val="clear" w:color="auto" w:fill="auto"/>
          </w:tcPr>
          <w:p w:rsidR="002C2460" w:rsidRPr="007575AF" w:rsidRDefault="002C2460" w:rsidP="002C2460">
            <w:pPr>
              <w:jc w:val="right"/>
              <w:rPr>
                <w:rFonts w:ascii="CorpoS" w:hAnsi="CorpoS"/>
                <w:b/>
                <w:sz w:val="22"/>
                <w:szCs w:val="22"/>
                <w:lang w:val="de-DE"/>
              </w:rPr>
            </w:pPr>
            <w:r w:rsidRPr="007575AF">
              <w:rPr>
                <w:rFonts w:ascii="CorpoS" w:hAnsi="CorpoS"/>
                <w:b/>
                <w:sz w:val="22"/>
                <w:szCs w:val="22"/>
                <w:lang w:val="de-DE"/>
              </w:rPr>
              <w:t>30.</w:t>
            </w:r>
            <w:r>
              <w:rPr>
                <w:rFonts w:ascii="CorpoS" w:hAnsi="CorpoS"/>
                <w:b/>
                <w:sz w:val="22"/>
                <w:szCs w:val="22"/>
                <w:lang w:val="de-DE"/>
              </w:rPr>
              <w:t xml:space="preserve"> Sept.</w:t>
            </w:r>
            <w:r w:rsidRPr="007575AF">
              <w:rPr>
                <w:rFonts w:ascii="CorpoS" w:hAnsi="CorpoS"/>
                <w:b/>
                <w:sz w:val="22"/>
                <w:szCs w:val="22"/>
                <w:lang w:val="de-DE"/>
              </w:rPr>
              <w:t xml:space="preserve"> </w:t>
            </w:r>
            <w:r>
              <w:rPr>
                <w:rFonts w:ascii="CorpoS" w:hAnsi="CorpoS"/>
                <w:b/>
                <w:sz w:val="22"/>
                <w:szCs w:val="22"/>
                <w:lang w:val="de-DE"/>
              </w:rPr>
              <w:t>20</w:t>
            </w:r>
            <w:r w:rsidRPr="007575AF">
              <w:rPr>
                <w:rFonts w:ascii="CorpoS" w:hAnsi="CorpoS"/>
                <w:b/>
                <w:sz w:val="22"/>
                <w:szCs w:val="22"/>
                <w:lang w:val="de-DE"/>
              </w:rPr>
              <w:t>1</w:t>
            </w:r>
            <w:r>
              <w:rPr>
                <w:rFonts w:ascii="CorpoS" w:hAnsi="CorpoS"/>
                <w:b/>
                <w:sz w:val="22"/>
                <w:szCs w:val="22"/>
                <w:lang w:val="de-DE"/>
              </w:rPr>
              <w:t>7</w:t>
            </w:r>
          </w:p>
        </w:tc>
        <w:tc>
          <w:tcPr>
            <w:tcW w:w="1418" w:type="dxa"/>
            <w:tcBorders>
              <w:bottom w:val="single" w:sz="4" w:space="0" w:color="auto"/>
              <w:right w:val="single" w:sz="18" w:space="0" w:color="auto"/>
            </w:tcBorders>
            <w:shd w:val="clear" w:color="auto" w:fill="auto"/>
          </w:tcPr>
          <w:p w:rsidR="002C2460" w:rsidRPr="007575AF" w:rsidRDefault="002C2460" w:rsidP="00126044">
            <w:pPr>
              <w:ind w:right="33"/>
              <w:rPr>
                <w:rFonts w:ascii="CorpoS" w:hAnsi="CorpoS"/>
                <w:b/>
                <w:sz w:val="22"/>
                <w:szCs w:val="22"/>
                <w:lang w:val="de-DE"/>
              </w:rPr>
            </w:pPr>
            <w:proofErr w:type="spellStart"/>
            <w:r w:rsidRPr="007575AF">
              <w:rPr>
                <w:rFonts w:ascii="CorpoS" w:hAnsi="CorpoS"/>
                <w:b/>
                <w:sz w:val="22"/>
                <w:szCs w:val="22"/>
                <w:lang w:val="de-DE"/>
              </w:rPr>
              <w:t>Verände-rung</w:t>
            </w:r>
            <w:proofErr w:type="spellEnd"/>
          </w:p>
        </w:tc>
      </w:tr>
      <w:tr w:rsidR="002C2460" w:rsidRPr="002C2460" w:rsidTr="00126044">
        <w:tc>
          <w:tcPr>
            <w:tcW w:w="3969" w:type="dxa"/>
            <w:tcBorders>
              <w:right w:val="single" w:sz="4" w:space="0" w:color="auto"/>
            </w:tcBorders>
            <w:shd w:val="clear" w:color="auto" w:fill="auto"/>
          </w:tcPr>
          <w:p w:rsidR="002C2460" w:rsidRPr="00511729" w:rsidRDefault="002C2460" w:rsidP="00126044">
            <w:pPr>
              <w:rPr>
                <w:rFonts w:ascii="CorpoS" w:hAnsi="CorpoS"/>
                <w:b/>
                <w:sz w:val="22"/>
                <w:szCs w:val="22"/>
                <w:lang w:val="de-DE"/>
              </w:rPr>
            </w:pPr>
            <w:r w:rsidRPr="00511729">
              <w:rPr>
                <w:rFonts w:ascii="CorpoS" w:hAnsi="CorpoS"/>
                <w:b/>
                <w:sz w:val="22"/>
                <w:szCs w:val="22"/>
                <w:lang w:val="de-DE"/>
              </w:rPr>
              <w:t>Bilanz-Kennzahlen</w:t>
            </w:r>
          </w:p>
        </w:tc>
        <w:tc>
          <w:tcPr>
            <w:tcW w:w="1134" w:type="dxa"/>
            <w:tcBorders>
              <w:left w:val="single" w:sz="4" w:space="0" w:color="auto"/>
              <w:right w:val="single" w:sz="4" w:space="0" w:color="auto"/>
            </w:tcBorders>
          </w:tcPr>
          <w:p w:rsidR="002C2460" w:rsidRPr="00694A29" w:rsidRDefault="002C2460"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2C2460" w:rsidRPr="00694A29" w:rsidRDefault="002C2460"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tcPr>
          <w:p w:rsidR="002C2460" w:rsidRPr="00694A29" w:rsidRDefault="002C2460" w:rsidP="00126044">
            <w:pPr>
              <w:jc w:val="right"/>
              <w:rPr>
                <w:rFonts w:ascii="CorpoS" w:hAnsi="CorpoS"/>
                <w:color w:val="FF0000"/>
                <w:sz w:val="22"/>
                <w:szCs w:val="22"/>
                <w:lang w:val="de-DE"/>
              </w:rPr>
            </w:pPr>
          </w:p>
        </w:tc>
        <w:tc>
          <w:tcPr>
            <w:tcW w:w="1276" w:type="dxa"/>
            <w:tcBorders>
              <w:top w:val="single" w:sz="4" w:space="0" w:color="auto"/>
              <w:bottom w:val="single" w:sz="4" w:space="0" w:color="auto"/>
            </w:tcBorders>
            <w:shd w:val="clear" w:color="auto" w:fill="auto"/>
          </w:tcPr>
          <w:p w:rsidR="002C2460" w:rsidRPr="007575AF" w:rsidRDefault="002C2460" w:rsidP="00126044">
            <w:pPr>
              <w:jc w:val="right"/>
              <w:rPr>
                <w:rFonts w:ascii="CorpoS" w:hAnsi="CorpoS"/>
                <w:color w:val="FF0000"/>
                <w:sz w:val="22"/>
                <w:szCs w:val="22"/>
                <w:lang w:val="de-DE"/>
              </w:rPr>
            </w:pPr>
          </w:p>
        </w:tc>
        <w:tc>
          <w:tcPr>
            <w:tcW w:w="1418" w:type="dxa"/>
            <w:tcBorders>
              <w:top w:val="single" w:sz="4" w:space="0" w:color="auto"/>
              <w:bottom w:val="single" w:sz="4" w:space="0" w:color="auto"/>
              <w:right w:val="single" w:sz="18" w:space="0" w:color="auto"/>
            </w:tcBorders>
            <w:shd w:val="clear" w:color="auto" w:fill="auto"/>
          </w:tcPr>
          <w:p w:rsidR="002C2460" w:rsidRPr="007575AF" w:rsidRDefault="002C2460" w:rsidP="00126044">
            <w:pPr>
              <w:ind w:right="33"/>
              <w:jc w:val="right"/>
              <w:rPr>
                <w:rFonts w:ascii="CorpoS" w:hAnsi="CorpoS"/>
                <w:color w:val="FF0000"/>
                <w:sz w:val="22"/>
                <w:szCs w:val="22"/>
                <w:lang w:val="de-DE"/>
              </w:rPr>
            </w:pPr>
          </w:p>
        </w:tc>
      </w:tr>
      <w:tr w:rsidR="00160513" w:rsidRPr="002C2460" w:rsidTr="00126044">
        <w:tc>
          <w:tcPr>
            <w:tcW w:w="3969" w:type="dxa"/>
            <w:tcBorders>
              <w:right w:val="single" w:sz="4" w:space="0" w:color="auto"/>
            </w:tcBorders>
            <w:shd w:val="clear" w:color="auto" w:fill="auto"/>
          </w:tcPr>
          <w:p w:rsidR="00160513" w:rsidRPr="00C05798" w:rsidRDefault="00160513" w:rsidP="00126044">
            <w:pPr>
              <w:ind w:firstLine="176"/>
              <w:rPr>
                <w:rFonts w:ascii="CorpoS" w:hAnsi="CorpoS"/>
                <w:sz w:val="22"/>
                <w:szCs w:val="22"/>
                <w:lang w:val="de-DE"/>
              </w:rPr>
            </w:pPr>
            <w:r w:rsidRPr="00C05798">
              <w:rPr>
                <w:rFonts w:ascii="CorpoS" w:hAnsi="CorpoS"/>
                <w:sz w:val="22"/>
                <w:szCs w:val="22"/>
                <w:lang w:val="de-DE"/>
              </w:rPr>
              <w:t>Immaterielle Vermögenswerte</w:t>
            </w:r>
          </w:p>
        </w:tc>
        <w:tc>
          <w:tcPr>
            <w:tcW w:w="1134" w:type="dxa"/>
            <w:tcBorders>
              <w:left w:val="single" w:sz="4" w:space="0" w:color="auto"/>
              <w:right w:val="single" w:sz="4" w:space="0" w:color="auto"/>
            </w:tcBorders>
          </w:tcPr>
          <w:p w:rsidR="00160513" w:rsidRPr="00694A29" w:rsidRDefault="00160513"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160513" w:rsidRPr="00694A29" w:rsidRDefault="00160513"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2.234,2</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2.289,5</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+ 2,5 %</w:t>
            </w:r>
          </w:p>
        </w:tc>
      </w:tr>
      <w:tr w:rsidR="00160513" w:rsidRPr="002C3218" w:rsidTr="00126044">
        <w:tc>
          <w:tcPr>
            <w:tcW w:w="3969" w:type="dxa"/>
            <w:tcBorders>
              <w:right w:val="single" w:sz="4" w:space="0" w:color="auto"/>
            </w:tcBorders>
            <w:shd w:val="clear" w:color="auto" w:fill="auto"/>
          </w:tcPr>
          <w:p w:rsidR="00160513" w:rsidRPr="00C05798" w:rsidRDefault="00160513" w:rsidP="00126044">
            <w:pPr>
              <w:ind w:left="176"/>
              <w:rPr>
                <w:rFonts w:ascii="CorpoS" w:hAnsi="CorpoS"/>
                <w:sz w:val="22"/>
                <w:szCs w:val="22"/>
                <w:lang w:val="de-DE"/>
              </w:rPr>
            </w:pPr>
            <w:r w:rsidRPr="00C05798">
              <w:rPr>
                <w:rFonts w:ascii="CorpoS" w:hAnsi="CorpoS"/>
                <w:sz w:val="22"/>
                <w:szCs w:val="22"/>
                <w:lang w:val="de-DE"/>
              </w:rPr>
              <w:t>Zahlungsmittel und Zahlungsmittel</w:t>
            </w:r>
            <w:r>
              <w:rPr>
                <w:rFonts w:ascii="CorpoS" w:hAnsi="CorpoS"/>
                <w:sz w:val="22"/>
                <w:szCs w:val="22"/>
                <w:lang w:val="de-DE"/>
              </w:rPr>
              <w:t>-</w:t>
            </w:r>
            <w:r w:rsidRPr="00C05798">
              <w:rPr>
                <w:rFonts w:ascii="CorpoS" w:hAnsi="CorpoS"/>
                <w:sz w:val="22"/>
                <w:szCs w:val="22"/>
                <w:lang w:val="de-DE"/>
              </w:rPr>
              <w:t>äquivalente</w:t>
            </w:r>
          </w:p>
        </w:tc>
        <w:tc>
          <w:tcPr>
            <w:tcW w:w="1134" w:type="dxa"/>
            <w:tcBorders>
              <w:left w:val="single" w:sz="4" w:space="0" w:color="auto"/>
              <w:right w:val="single" w:sz="4" w:space="0" w:color="auto"/>
            </w:tcBorders>
          </w:tcPr>
          <w:p w:rsidR="00160513" w:rsidRPr="00694A29" w:rsidRDefault="00160513"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160513" w:rsidRPr="00694A29" w:rsidRDefault="00160513"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322,4</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86,6</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- 73,1 %</w:t>
            </w:r>
          </w:p>
        </w:tc>
      </w:tr>
      <w:tr w:rsidR="00160513" w:rsidRPr="002C3218" w:rsidTr="00126044">
        <w:tc>
          <w:tcPr>
            <w:tcW w:w="3969" w:type="dxa"/>
            <w:tcBorders>
              <w:right w:val="single" w:sz="4" w:space="0" w:color="auto"/>
            </w:tcBorders>
            <w:shd w:val="clear" w:color="auto" w:fill="auto"/>
          </w:tcPr>
          <w:p w:rsidR="00160513" w:rsidRPr="00C05798" w:rsidRDefault="00160513" w:rsidP="00126044">
            <w:pPr>
              <w:ind w:left="176"/>
              <w:rPr>
                <w:rFonts w:ascii="CorpoS" w:hAnsi="CorpoS"/>
                <w:sz w:val="22"/>
                <w:szCs w:val="22"/>
                <w:lang w:val="de-DE"/>
              </w:rPr>
            </w:pPr>
            <w:r w:rsidRPr="00C05798">
              <w:rPr>
                <w:rFonts w:ascii="CorpoS" w:hAnsi="CorpoS"/>
                <w:sz w:val="22"/>
                <w:szCs w:val="22"/>
                <w:lang w:val="de-DE"/>
              </w:rPr>
              <w:t>Rückstellungen für Pensionen</w:t>
            </w:r>
          </w:p>
        </w:tc>
        <w:tc>
          <w:tcPr>
            <w:tcW w:w="1134" w:type="dxa"/>
            <w:tcBorders>
              <w:left w:val="single" w:sz="4" w:space="0" w:color="auto"/>
              <w:right w:val="single" w:sz="4" w:space="0" w:color="auto"/>
            </w:tcBorders>
          </w:tcPr>
          <w:p w:rsidR="00160513" w:rsidRPr="00694A29" w:rsidRDefault="00160513"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160513" w:rsidRPr="00694A29" w:rsidRDefault="00160513"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883,3</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869,3</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- 1,6 %</w:t>
            </w:r>
          </w:p>
        </w:tc>
      </w:tr>
      <w:tr w:rsidR="00160513" w:rsidRPr="002C3218" w:rsidTr="00126044">
        <w:tc>
          <w:tcPr>
            <w:tcW w:w="3969" w:type="dxa"/>
            <w:tcBorders>
              <w:right w:val="single" w:sz="4" w:space="0" w:color="auto"/>
            </w:tcBorders>
            <w:shd w:val="clear" w:color="auto" w:fill="auto"/>
          </w:tcPr>
          <w:p w:rsidR="00160513" w:rsidRPr="00C05798" w:rsidRDefault="00160513" w:rsidP="00126044">
            <w:pPr>
              <w:ind w:left="176"/>
              <w:rPr>
                <w:rFonts w:ascii="CorpoS" w:hAnsi="CorpoS"/>
                <w:sz w:val="22"/>
                <w:szCs w:val="22"/>
                <w:lang w:val="de-DE"/>
              </w:rPr>
            </w:pPr>
            <w:r w:rsidRPr="00C05798">
              <w:rPr>
                <w:rFonts w:ascii="CorpoS" w:hAnsi="CorpoS"/>
                <w:sz w:val="22"/>
                <w:szCs w:val="22"/>
                <w:lang w:val="de-DE"/>
              </w:rPr>
              <w:t>Eigenkapital</w:t>
            </w:r>
          </w:p>
        </w:tc>
        <w:tc>
          <w:tcPr>
            <w:tcW w:w="1134" w:type="dxa"/>
            <w:tcBorders>
              <w:left w:val="single" w:sz="4" w:space="0" w:color="auto"/>
              <w:right w:val="single" w:sz="4" w:space="0" w:color="auto"/>
            </w:tcBorders>
          </w:tcPr>
          <w:p w:rsidR="00160513" w:rsidRPr="00694A29" w:rsidRDefault="00160513"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160513" w:rsidRPr="00694A29" w:rsidRDefault="00160513"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1.500,5</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1.879,0</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+ 25,2 %</w:t>
            </w:r>
          </w:p>
        </w:tc>
      </w:tr>
      <w:tr w:rsidR="00160513" w:rsidRPr="002C3218" w:rsidTr="00126044">
        <w:tc>
          <w:tcPr>
            <w:tcW w:w="3969" w:type="dxa"/>
            <w:tcBorders>
              <w:right w:val="single" w:sz="4" w:space="0" w:color="auto"/>
            </w:tcBorders>
            <w:shd w:val="clear" w:color="auto" w:fill="auto"/>
          </w:tcPr>
          <w:p w:rsidR="00160513" w:rsidRPr="00C05798" w:rsidRDefault="00160513" w:rsidP="00126044">
            <w:pPr>
              <w:ind w:left="176"/>
              <w:rPr>
                <w:rFonts w:ascii="CorpoS" w:hAnsi="CorpoS"/>
                <w:sz w:val="22"/>
                <w:szCs w:val="22"/>
                <w:lang w:val="de-DE"/>
              </w:rPr>
            </w:pPr>
            <w:r w:rsidRPr="00C05798">
              <w:rPr>
                <w:rFonts w:ascii="CorpoS" w:hAnsi="CorpoS"/>
                <w:sz w:val="22"/>
                <w:szCs w:val="22"/>
                <w:lang w:val="de-DE"/>
              </w:rPr>
              <w:t>Netto-Finanzverschuldung</w:t>
            </w:r>
          </w:p>
        </w:tc>
        <w:tc>
          <w:tcPr>
            <w:tcW w:w="1134" w:type="dxa"/>
            <w:tcBorders>
              <w:left w:val="single" w:sz="4" w:space="0" w:color="auto"/>
              <w:right w:val="single" w:sz="4" w:space="0" w:color="auto"/>
            </w:tcBorders>
          </w:tcPr>
          <w:p w:rsidR="00160513" w:rsidRPr="00694A29" w:rsidRDefault="00160513"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160513" w:rsidRPr="00694A29" w:rsidRDefault="00160513"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892,0</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848,1</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- 4,9 %</w:t>
            </w:r>
          </w:p>
        </w:tc>
      </w:tr>
      <w:tr w:rsidR="00160513" w:rsidRPr="002C3218" w:rsidTr="00126044">
        <w:tc>
          <w:tcPr>
            <w:tcW w:w="3969" w:type="dxa"/>
            <w:tcBorders>
              <w:right w:val="single" w:sz="4" w:space="0" w:color="auto"/>
            </w:tcBorders>
            <w:shd w:val="clear" w:color="auto" w:fill="auto"/>
          </w:tcPr>
          <w:p w:rsidR="00160513" w:rsidRPr="00C05798" w:rsidRDefault="00160513" w:rsidP="00126044">
            <w:pPr>
              <w:ind w:left="176"/>
              <w:rPr>
                <w:rFonts w:ascii="CorpoS" w:hAnsi="CorpoS"/>
                <w:sz w:val="22"/>
                <w:szCs w:val="22"/>
                <w:lang w:val="de-DE"/>
              </w:rPr>
            </w:pPr>
            <w:r w:rsidRPr="00C05798">
              <w:rPr>
                <w:rFonts w:ascii="CorpoS" w:hAnsi="CorpoS"/>
                <w:sz w:val="22"/>
                <w:szCs w:val="22"/>
                <w:lang w:val="de-DE"/>
              </w:rPr>
              <w:t>Bilanzsumme</w:t>
            </w:r>
          </w:p>
        </w:tc>
        <w:tc>
          <w:tcPr>
            <w:tcW w:w="1134" w:type="dxa"/>
            <w:tcBorders>
              <w:left w:val="single" w:sz="4" w:space="0" w:color="auto"/>
              <w:right w:val="single" w:sz="4" w:space="0" w:color="auto"/>
            </w:tcBorders>
          </w:tcPr>
          <w:p w:rsidR="00160513" w:rsidRPr="00694A29" w:rsidRDefault="00160513" w:rsidP="00126044">
            <w:pPr>
              <w:jc w:val="right"/>
              <w:rPr>
                <w:rFonts w:ascii="CorpoS" w:hAnsi="CorpoS"/>
                <w:color w:val="FF0000"/>
                <w:sz w:val="22"/>
                <w:szCs w:val="22"/>
                <w:lang w:val="de-DE"/>
              </w:rPr>
            </w:pPr>
          </w:p>
        </w:tc>
        <w:tc>
          <w:tcPr>
            <w:tcW w:w="1134" w:type="dxa"/>
            <w:tcBorders>
              <w:left w:val="single" w:sz="4" w:space="0" w:color="auto"/>
              <w:right w:val="single" w:sz="18" w:space="0" w:color="auto"/>
            </w:tcBorders>
          </w:tcPr>
          <w:p w:rsidR="00160513" w:rsidRPr="00694A29" w:rsidRDefault="00160513" w:rsidP="00126044">
            <w:pPr>
              <w:jc w:val="right"/>
              <w:rPr>
                <w:rFonts w:ascii="CorpoS" w:hAnsi="CorpoS"/>
                <w:color w:val="FF0000"/>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5.844,6</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5.823,5</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- 0,4 %</w:t>
            </w:r>
          </w:p>
        </w:tc>
      </w:tr>
      <w:tr w:rsidR="002C2460" w:rsidRPr="00880C92" w:rsidTr="00126044">
        <w:trPr>
          <w:trHeight w:val="50"/>
        </w:trPr>
        <w:tc>
          <w:tcPr>
            <w:tcW w:w="3969" w:type="dxa"/>
            <w:tcBorders>
              <w:right w:val="single" w:sz="4" w:space="0" w:color="auto"/>
            </w:tcBorders>
            <w:shd w:val="clear" w:color="auto" w:fill="auto"/>
          </w:tcPr>
          <w:p w:rsidR="002C2460" w:rsidRPr="00880C92" w:rsidRDefault="002C2460" w:rsidP="00126044">
            <w:pPr>
              <w:rPr>
                <w:rFonts w:ascii="CorpoS" w:hAnsi="CorpoS"/>
                <w:sz w:val="8"/>
                <w:szCs w:val="8"/>
                <w:lang w:val="de-DE"/>
              </w:rPr>
            </w:pPr>
          </w:p>
        </w:tc>
        <w:tc>
          <w:tcPr>
            <w:tcW w:w="1134" w:type="dxa"/>
            <w:tcBorders>
              <w:left w:val="single" w:sz="4" w:space="0" w:color="auto"/>
              <w:right w:val="single" w:sz="4" w:space="0" w:color="auto"/>
            </w:tcBorders>
          </w:tcPr>
          <w:p w:rsidR="002C2460" w:rsidRPr="00880C92" w:rsidRDefault="002C2460" w:rsidP="00126044">
            <w:pPr>
              <w:jc w:val="right"/>
              <w:rPr>
                <w:rFonts w:ascii="CorpoS" w:hAnsi="CorpoS"/>
                <w:sz w:val="8"/>
                <w:szCs w:val="8"/>
                <w:lang w:val="de-DE"/>
              </w:rPr>
            </w:pPr>
          </w:p>
        </w:tc>
        <w:tc>
          <w:tcPr>
            <w:tcW w:w="1134" w:type="dxa"/>
            <w:tcBorders>
              <w:left w:val="single" w:sz="4" w:space="0" w:color="auto"/>
              <w:right w:val="single" w:sz="18" w:space="0" w:color="auto"/>
            </w:tcBorders>
          </w:tcPr>
          <w:p w:rsidR="002C2460" w:rsidRPr="00880C92" w:rsidRDefault="002C2460" w:rsidP="00126044">
            <w:pPr>
              <w:jc w:val="right"/>
              <w:rPr>
                <w:rFonts w:ascii="CorpoS" w:hAnsi="CorpoS"/>
                <w:sz w:val="8"/>
                <w:szCs w:val="8"/>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2C2460" w:rsidRPr="00880C92" w:rsidRDefault="002C2460" w:rsidP="00126044">
            <w:pPr>
              <w:ind w:firstLineChars="100" w:firstLine="80"/>
              <w:jc w:val="right"/>
              <w:rPr>
                <w:rFonts w:ascii="CorpoS" w:hAnsi="CorpoS" w:cs="Arial"/>
                <w:sz w:val="8"/>
                <w:szCs w:val="8"/>
              </w:rPr>
            </w:pPr>
          </w:p>
        </w:tc>
        <w:tc>
          <w:tcPr>
            <w:tcW w:w="1276" w:type="dxa"/>
            <w:tcBorders>
              <w:top w:val="single" w:sz="4" w:space="0" w:color="auto"/>
              <w:bottom w:val="single" w:sz="4" w:space="0" w:color="auto"/>
            </w:tcBorders>
            <w:shd w:val="clear" w:color="auto" w:fill="auto"/>
            <w:vAlign w:val="center"/>
          </w:tcPr>
          <w:p w:rsidR="002C2460" w:rsidRPr="00880C92" w:rsidRDefault="002C2460" w:rsidP="00126044">
            <w:pPr>
              <w:ind w:firstLineChars="100" w:firstLine="80"/>
              <w:jc w:val="right"/>
              <w:rPr>
                <w:rFonts w:ascii="CorpoS" w:hAnsi="CorpoS" w:cs="Arial"/>
                <w:sz w:val="8"/>
                <w:szCs w:val="8"/>
              </w:rPr>
            </w:pPr>
          </w:p>
        </w:tc>
        <w:tc>
          <w:tcPr>
            <w:tcW w:w="1418" w:type="dxa"/>
            <w:tcBorders>
              <w:top w:val="single" w:sz="4" w:space="0" w:color="auto"/>
              <w:bottom w:val="single" w:sz="4" w:space="0" w:color="auto"/>
              <w:right w:val="single" w:sz="18" w:space="0" w:color="auto"/>
            </w:tcBorders>
            <w:shd w:val="clear" w:color="auto" w:fill="auto"/>
            <w:vAlign w:val="center"/>
          </w:tcPr>
          <w:p w:rsidR="002C2460" w:rsidRPr="00880C92" w:rsidRDefault="002C2460" w:rsidP="00126044">
            <w:pPr>
              <w:ind w:firstLineChars="100" w:firstLine="80"/>
              <w:jc w:val="right"/>
              <w:rPr>
                <w:rFonts w:ascii="CorpoS" w:hAnsi="CorpoS" w:cs="Arial"/>
                <w:sz w:val="8"/>
                <w:szCs w:val="8"/>
              </w:rPr>
            </w:pPr>
            <w:r>
              <w:rPr>
                <w:rFonts w:ascii="CorpoS" w:hAnsi="CorpoS" w:cs="Arial"/>
                <w:sz w:val="8"/>
                <w:szCs w:val="8"/>
              </w:rPr>
              <w:t xml:space="preserve"> </w:t>
            </w:r>
          </w:p>
        </w:tc>
      </w:tr>
      <w:tr w:rsidR="00160513" w:rsidRPr="002C3218" w:rsidTr="00126044">
        <w:tc>
          <w:tcPr>
            <w:tcW w:w="3969" w:type="dxa"/>
            <w:tcBorders>
              <w:right w:val="single" w:sz="4" w:space="0" w:color="auto"/>
            </w:tcBorders>
            <w:shd w:val="clear" w:color="auto" w:fill="auto"/>
          </w:tcPr>
          <w:p w:rsidR="00160513" w:rsidRPr="00511729" w:rsidRDefault="00160513" w:rsidP="00126044">
            <w:pPr>
              <w:rPr>
                <w:rFonts w:ascii="CorpoS" w:hAnsi="CorpoS"/>
                <w:b/>
                <w:sz w:val="22"/>
                <w:szCs w:val="22"/>
                <w:lang w:val="de-DE"/>
              </w:rPr>
            </w:pPr>
            <w:r w:rsidRPr="00511729">
              <w:rPr>
                <w:rFonts w:ascii="CorpoS" w:hAnsi="CorpoS"/>
                <w:b/>
                <w:sz w:val="22"/>
                <w:szCs w:val="22"/>
                <w:lang w:val="de-DE"/>
              </w:rPr>
              <w:t>Auftragsbestand</w:t>
            </w:r>
          </w:p>
        </w:tc>
        <w:tc>
          <w:tcPr>
            <w:tcW w:w="1134" w:type="dxa"/>
            <w:tcBorders>
              <w:left w:val="single" w:sz="4" w:space="0" w:color="auto"/>
              <w:right w:val="single" w:sz="4" w:space="0" w:color="auto"/>
            </w:tcBorders>
          </w:tcPr>
          <w:p w:rsidR="00160513" w:rsidRDefault="00160513" w:rsidP="00126044">
            <w:pPr>
              <w:jc w:val="right"/>
              <w:rPr>
                <w:rFonts w:ascii="CorpoS" w:hAnsi="CorpoS"/>
                <w:sz w:val="22"/>
                <w:szCs w:val="22"/>
                <w:lang w:val="de-DE"/>
              </w:rPr>
            </w:pPr>
          </w:p>
        </w:tc>
        <w:tc>
          <w:tcPr>
            <w:tcW w:w="1134" w:type="dxa"/>
            <w:tcBorders>
              <w:left w:val="single" w:sz="4" w:space="0" w:color="auto"/>
              <w:right w:val="single" w:sz="18" w:space="0" w:color="auto"/>
            </w:tcBorders>
          </w:tcPr>
          <w:p w:rsidR="00160513" w:rsidRDefault="00160513" w:rsidP="00126044">
            <w:pPr>
              <w:jc w:val="right"/>
              <w:rPr>
                <w:rFonts w:ascii="CorpoS" w:hAnsi="CorpoS"/>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14.172,2</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12.129,0</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- 14,4 %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ind w:firstLine="176"/>
              <w:rPr>
                <w:rFonts w:ascii="CorpoS" w:hAnsi="CorpoS"/>
                <w:sz w:val="22"/>
                <w:szCs w:val="22"/>
              </w:rPr>
            </w:pPr>
            <w:proofErr w:type="spellStart"/>
            <w:r w:rsidRPr="00D40215">
              <w:rPr>
                <w:rFonts w:ascii="CorpoS" w:hAnsi="CorpoS"/>
                <w:sz w:val="22"/>
                <w:szCs w:val="22"/>
              </w:rPr>
              <w:t>davon</w:t>
            </w:r>
            <w:proofErr w:type="spellEnd"/>
            <w:r w:rsidRPr="00D40215">
              <w:rPr>
                <w:rFonts w:ascii="CorpoS" w:hAnsi="CorpoS"/>
                <w:sz w:val="22"/>
                <w:szCs w:val="22"/>
              </w:rPr>
              <w:t xml:space="preserve"> OEM-</w:t>
            </w:r>
            <w:proofErr w:type="spellStart"/>
            <w:r w:rsidRPr="00D40215">
              <w:rPr>
                <w:rFonts w:ascii="CorpoS" w:hAnsi="CorpoS"/>
                <w:sz w:val="22"/>
                <w:szCs w:val="22"/>
              </w:rPr>
              <w:t>Geschäft</w:t>
            </w:r>
            <w:proofErr w:type="spellEnd"/>
          </w:p>
        </w:tc>
        <w:tc>
          <w:tcPr>
            <w:tcW w:w="1134" w:type="dxa"/>
            <w:tcBorders>
              <w:left w:val="single" w:sz="4" w:space="0" w:color="auto"/>
              <w:right w:val="single" w:sz="4" w:space="0" w:color="auto"/>
            </w:tcBorders>
          </w:tcPr>
          <w:p w:rsidR="00160513" w:rsidRPr="00E13A3A" w:rsidRDefault="00160513" w:rsidP="00126044">
            <w:pPr>
              <w:jc w:val="right"/>
              <w:rPr>
                <w:rFonts w:ascii="CorpoS" w:hAnsi="CorpoS"/>
                <w:sz w:val="22"/>
                <w:szCs w:val="22"/>
                <w:lang w:val="de-DE"/>
              </w:rPr>
            </w:pPr>
          </w:p>
        </w:tc>
        <w:tc>
          <w:tcPr>
            <w:tcW w:w="1134" w:type="dxa"/>
            <w:tcBorders>
              <w:left w:val="single" w:sz="4" w:space="0" w:color="auto"/>
              <w:right w:val="single" w:sz="18" w:space="0" w:color="auto"/>
            </w:tcBorders>
          </w:tcPr>
          <w:p w:rsidR="00160513" w:rsidRPr="00E13A3A" w:rsidRDefault="00160513" w:rsidP="00126044">
            <w:pPr>
              <w:jc w:val="right"/>
              <w:rPr>
                <w:rFonts w:ascii="CorpoS" w:hAnsi="CorpoS"/>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7.246,0</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5.834,1</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- 19,5 %</w:t>
            </w:r>
          </w:p>
        </w:tc>
      </w:tr>
      <w:tr w:rsidR="00160513" w:rsidRPr="002C3218" w:rsidTr="00126044">
        <w:tc>
          <w:tcPr>
            <w:tcW w:w="3969" w:type="dxa"/>
            <w:tcBorders>
              <w:right w:val="single" w:sz="4" w:space="0" w:color="auto"/>
            </w:tcBorders>
            <w:shd w:val="clear" w:color="auto" w:fill="auto"/>
          </w:tcPr>
          <w:p w:rsidR="00160513" w:rsidRPr="00D40215" w:rsidRDefault="00160513" w:rsidP="00126044">
            <w:pPr>
              <w:ind w:firstLine="176"/>
              <w:rPr>
                <w:rFonts w:ascii="CorpoS" w:hAnsi="CorpoS"/>
                <w:sz w:val="22"/>
                <w:szCs w:val="22"/>
              </w:rPr>
            </w:pPr>
            <w:proofErr w:type="spellStart"/>
            <w:r w:rsidRPr="00D40215">
              <w:rPr>
                <w:rFonts w:ascii="CorpoS" w:hAnsi="CorpoS"/>
                <w:sz w:val="22"/>
                <w:szCs w:val="22"/>
              </w:rPr>
              <w:t>davon</w:t>
            </w:r>
            <w:proofErr w:type="spellEnd"/>
            <w:r w:rsidRPr="00D40215">
              <w:rPr>
                <w:rFonts w:ascii="CorpoS" w:hAnsi="CorpoS"/>
                <w:sz w:val="22"/>
                <w:szCs w:val="22"/>
              </w:rPr>
              <w:t xml:space="preserve"> </w:t>
            </w:r>
            <w:proofErr w:type="spellStart"/>
            <w:r w:rsidRPr="00D40215">
              <w:rPr>
                <w:rFonts w:ascii="CorpoS" w:hAnsi="CorpoS"/>
                <w:sz w:val="22"/>
                <w:szCs w:val="22"/>
              </w:rPr>
              <w:t>zivile</w:t>
            </w:r>
            <w:proofErr w:type="spellEnd"/>
            <w:r w:rsidRPr="00D40215">
              <w:rPr>
                <w:rFonts w:ascii="CorpoS" w:hAnsi="CorpoS"/>
                <w:sz w:val="22"/>
                <w:szCs w:val="22"/>
              </w:rPr>
              <w:t xml:space="preserve"> </w:t>
            </w:r>
            <w:proofErr w:type="spellStart"/>
            <w:r w:rsidRPr="00D40215">
              <w:rPr>
                <w:rFonts w:ascii="CorpoS" w:hAnsi="CorpoS"/>
                <w:sz w:val="22"/>
                <w:szCs w:val="22"/>
              </w:rPr>
              <w:t>Instandhaltung</w:t>
            </w:r>
            <w:proofErr w:type="spellEnd"/>
          </w:p>
        </w:tc>
        <w:tc>
          <w:tcPr>
            <w:tcW w:w="1134" w:type="dxa"/>
            <w:tcBorders>
              <w:left w:val="single" w:sz="4" w:space="0" w:color="auto"/>
              <w:right w:val="single" w:sz="4" w:space="0" w:color="auto"/>
            </w:tcBorders>
          </w:tcPr>
          <w:p w:rsidR="00160513" w:rsidRDefault="00160513" w:rsidP="00126044">
            <w:pPr>
              <w:jc w:val="right"/>
              <w:rPr>
                <w:rFonts w:ascii="CorpoS" w:hAnsi="CorpoS"/>
                <w:sz w:val="22"/>
                <w:szCs w:val="22"/>
                <w:lang w:val="de-DE"/>
              </w:rPr>
            </w:pPr>
          </w:p>
        </w:tc>
        <w:tc>
          <w:tcPr>
            <w:tcW w:w="1134" w:type="dxa"/>
            <w:tcBorders>
              <w:left w:val="single" w:sz="4" w:space="0" w:color="auto"/>
              <w:right w:val="single" w:sz="18" w:space="0" w:color="auto"/>
            </w:tcBorders>
          </w:tcPr>
          <w:p w:rsidR="00160513" w:rsidRDefault="00160513" w:rsidP="00126044">
            <w:pPr>
              <w:jc w:val="right"/>
              <w:rPr>
                <w:rFonts w:ascii="CorpoS" w:hAnsi="CorpoS"/>
                <w:sz w:val="22"/>
                <w:szCs w:val="22"/>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6.926,2</w:t>
            </w:r>
          </w:p>
        </w:tc>
        <w:tc>
          <w:tcPr>
            <w:tcW w:w="1276" w:type="dxa"/>
            <w:tcBorders>
              <w:top w:val="single" w:sz="4" w:space="0" w:color="auto"/>
              <w:bottom w:val="single" w:sz="4"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6.294,9</w:t>
            </w:r>
          </w:p>
        </w:tc>
        <w:tc>
          <w:tcPr>
            <w:tcW w:w="1418" w:type="dxa"/>
            <w:tcBorders>
              <w:top w:val="single" w:sz="4" w:space="0" w:color="auto"/>
              <w:bottom w:val="single" w:sz="4"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- 9,1 %</w:t>
            </w:r>
          </w:p>
        </w:tc>
      </w:tr>
      <w:tr w:rsidR="002C2460" w:rsidRPr="00880C92" w:rsidTr="00126044">
        <w:trPr>
          <w:cantSplit/>
          <w:trHeight w:val="20"/>
        </w:trPr>
        <w:tc>
          <w:tcPr>
            <w:tcW w:w="3969" w:type="dxa"/>
            <w:tcBorders>
              <w:right w:val="single" w:sz="4" w:space="0" w:color="auto"/>
            </w:tcBorders>
            <w:shd w:val="clear" w:color="auto" w:fill="auto"/>
          </w:tcPr>
          <w:p w:rsidR="002C2460" w:rsidRPr="00880C92" w:rsidRDefault="002C2460" w:rsidP="00126044">
            <w:pPr>
              <w:rPr>
                <w:rFonts w:ascii="CorpoS" w:hAnsi="CorpoS"/>
                <w:sz w:val="8"/>
                <w:szCs w:val="8"/>
                <w:lang w:val="de-DE"/>
              </w:rPr>
            </w:pPr>
          </w:p>
        </w:tc>
        <w:tc>
          <w:tcPr>
            <w:tcW w:w="1134" w:type="dxa"/>
            <w:tcBorders>
              <w:left w:val="single" w:sz="4" w:space="0" w:color="auto"/>
              <w:right w:val="single" w:sz="4" w:space="0" w:color="auto"/>
            </w:tcBorders>
          </w:tcPr>
          <w:p w:rsidR="002C2460" w:rsidRPr="00880C92" w:rsidRDefault="002C2460" w:rsidP="00126044">
            <w:pPr>
              <w:jc w:val="right"/>
              <w:rPr>
                <w:rFonts w:ascii="CorpoS" w:hAnsi="CorpoS"/>
                <w:sz w:val="8"/>
                <w:szCs w:val="8"/>
                <w:lang w:val="de-DE"/>
              </w:rPr>
            </w:pPr>
          </w:p>
        </w:tc>
        <w:tc>
          <w:tcPr>
            <w:tcW w:w="1134" w:type="dxa"/>
            <w:tcBorders>
              <w:left w:val="single" w:sz="4" w:space="0" w:color="auto"/>
              <w:right w:val="single" w:sz="18" w:space="0" w:color="auto"/>
            </w:tcBorders>
          </w:tcPr>
          <w:p w:rsidR="002C2460" w:rsidRPr="00880C92" w:rsidRDefault="002C2460" w:rsidP="00126044">
            <w:pPr>
              <w:jc w:val="right"/>
              <w:rPr>
                <w:rFonts w:ascii="CorpoS" w:hAnsi="CorpoS"/>
                <w:sz w:val="8"/>
                <w:szCs w:val="8"/>
                <w:lang w:val="de-DE"/>
              </w:rPr>
            </w:pPr>
          </w:p>
        </w:tc>
        <w:tc>
          <w:tcPr>
            <w:tcW w:w="1276" w:type="dxa"/>
            <w:tcBorders>
              <w:top w:val="single" w:sz="4" w:space="0" w:color="auto"/>
              <w:left w:val="single" w:sz="18" w:space="0" w:color="auto"/>
              <w:bottom w:val="single" w:sz="4" w:space="0" w:color="auto"/>
            </w:tcBorders>
            <w:shd w:val="clear" w:color="auto" w:fill="auto"/>
            <w:vAlign w:val="center"/>
          </w:tcPr>
          <w:p w:rsidR="002C2460" w:rsidRPr="00880C92" w:rsidRDefault="002C2460" w:rsidP="00126044">
            <w:pPr>
              <w:ind w:firstLineChars="100" w:firstLine="80"/>
              <w:jc w:val="right"/>
              <w:rPr>
                <w:rFonts w:ascii="CorpoS" w:hAnsi="CorpoS" w:cs="Arial"/>
                <w:sz w:val="8"/>
                <w:szCs w:val="8"/>
              </w:rPr>
            </w:pPr>
            <w:r w:rsidRPr="00880C92">
              <w:rPr>
                <w:rFonts w:ascii="CorpoS" w:hAnsi="CorpoS" w:cs="Arial"/>
                <w:sz w:val="8"/>
                <w:szCs w:val="8"/>
              </w:rPr>
              <w:t> </w:t>
            </w:r>
          </w:p>
        </w:tc>
        <w:tc>
          <w:tcPr>
            <w:tcW w:w="1276" w:type="dxa"/>
            <w:tcBorders>
              <w:top w:val="single" w:sz="4" w:space="0" w:color="auto"/>
              <w:bottom w:val="single" w:sz="4" w:space="0" w:color="auto"/>
            </w:tcBorders>
            <w:shd w:val="clear" w:color="auto" w:fill="auto"/>
            <w:vAlign w:val="center"/>
          </w:tcPr>
          <w:p w:rsidR="002C2460" w:rsidRPr="00880C92" w:rsidRDefault="002C2460" w:rsidP="00126044">
            <w:pPr>
              <w:ind w:firstLineChars="100" w:firstLine="80"/>
              <w:jc w:val="right"/>
              <w:rPr>
                <w:rFonts w:ascii="CorpoS" w:hAnsi="CorpoS" w:cs="Arial"/>
                <w:sz w:val="8"/>
                <w:szCs w:val="8"/>
              </w:rPr>
            </w:pPr>
            <w:r w:rsidRPr="00880C92">
              <w:rPr>
                <w:rFonts w:ascii="CorpoS" w:hAnsi="CorpoS" w:cs="Arial"/>
                <w:sz w:val="8"/>
                <w:szCs w:val="8"/>
              </w:rPr>
              <w:t> </w:t>
            </w:r>
          </w:p>
        </w:tc>
        <w:tc>
          <w:tcPr>
            <w:tcW w:w="1418" w:type="dxa"/>
            <w:tcBorders>
              <w:top w:val="single" w:sz="4" w:space="0" w:color="auto"/>
              <w:bottom w:val="single" w:sz="4" w:space="0" w:color="auto"/>
              <w:right w:val="single" w:sz="18" w:space="0" w:color="auto"/>
            </w:tcBorders>
            <w:shd w:val="clear" w:color="auto" w:fill="auto"/>
            <w:vAlign w:val="center"/>
          </w:tcPr>
          <w:p w:rsidR="002C2460" w:rsidRPr="00880C92" w:rsidRDefault="002C2460" w:rsidP="00126044">
            <w:pPr>
              <w:ind w:firstLineChars="100" w:firstLine="80"/>
              <w:jc w:val="right"/>
              <w:rPr>
                <w:rFonts w:ascii="CorpoS" w:hAnsi="CorpoS" w:cs="Arial"/>
                <w:sz w:val="8"/>
                <w:szCs w:val="8"/>
              </w:rPr>
            </w:pPr>
            <w:r>
              <w:rPr>
                <w:rFonts w:ascii="CorpoS" w:hAnsi="CorpoS" w:cs="Arial"/>
                <w:sz w:val="8"/>
                <w:szCs w:val="8"/>
              </w:rPr>
              <w:t xml:space="preserve"> </w:t>
            </w:r>
            <w:r w:rsidRPr="00880C92">
              <w:rPr>
                <w:rFonts w:ascii="CorpoS" w:hAnsi="CorpoS" w:cs="Arial"/>
                <w:sz w:val="8"/>
                <w:szCs w:val="8"/>
              </w:rPr>
              <w:t> </w:t>
            </w:r>
          </w:p>
        </w:tc>
      </w:tr>
      <w:tr w:rsidR="00160513" w:rsidRPr="002C3218" w:rsidTr="00126044">
        <w:tc>
          <w:tcPr>
            <w:tcW w:w="3969" w:type="dxa"/>
            <w:tcBorders>
              <w:right w:val="single" w:sz="4" w:space="0" w:color="auto"/>
            </w:tcBorders>
            <w:shd w:val="clear" w:color="auto" w:fill="auto"/>
          </w:tcPr>
          <w:p w:rsidR="00160513" w:rsidRPr="00511729" w:rsidRDefault="00160513" w:rsidP="00126044">
            <w:pPr>
              <w:rPr>
                <w:rFonts w:ascii="CorpoS" w:hAnsi="CorpoS"/>
                <w:b/>
                <w:sz w:val="22"/>
                <w:szCs w:val="22"/>
                <w:lang w:val="de-DE"/>
              </w:rPr>
            </w:pPr>
            <w:r w:rsidRPr="00511729">
              <w:rPr>
                <w:rFonts w:ascii="CorpoS" w:hAnsi="CorpoS"/>
                <w:b/>
                <w:sz w:val="22"/>
                <w:szCs w:val="22"/>
                <w:lang w:val="de-DE"/>
              </w:rPr>
              <w:t>Mitarbeiter</w:t>
            </w:r>
          </w:p>
        </w:tc>
        <w:tc>
          <w:tcPr>
            <w:tcW w:w="1134" w:type="dxa"/>
            <w:tcBorders>
              <w:left w:val="single" w:sz="4" w:space="0" w:color="auto"/>
              <w:right w:val="single" w:sz="4" w:space="0" w:color="auto"/>
            </w:tcBorders>
          </w:tcPr>
          <w:p w:rsidR="00160513" w:rsidRPr="009A16F8" w:rsidRDefault="00160513" w:rsidP="00126044">
            <w:pPr>
              <w:jc w:val="right"/>
              <w:rPr>
                <w:rFonts w:ascii="CorpoS" w:hAnsi="CorpoS"/>
                <w:sz w:val="22"/>
                <w:szCs w:val="22"/>
                <w:lang w:val="de-DE"/>
              </w:rPr>
            </w:pPr>
          </w:p>
        </w:tc>
        <w:tc>
          <w:tcPr>
            <w:tcW w:w="1134" w:type="dxa"/>
            <w:tcBorders>
              <w:left w:val="single" w:sz="4" w:space="0" w:color="auto"/>
              <w:right w:val="single" w:sz="18" w:space="0" w:color="auto"/>
            </w:tcBorders>
          </w:tcPr>
          <w:p w:rsidR="00160513" w:rsidRPr="009A16F8" w:rsidRDefault="00160513" w:rsidP="00126044">
            <w:pPr>
              <w:jc w:val="right"/>
              <w:rPr>
                <w:rFonts w:ascii="CorpoS" w:hAnsi="CorpoS"/>
                <w:sz w:val="22"/>
                <w:szCs w:val="22"/>
                <w:lang w:val="de-DE"/>
              </w:rPr>
            </w:pPr>
          </w:p>
        </w:tc>
        <w:tc>
          <w:tcPr>
            <w:tcW w:w="1276" w:type="dxa"/>
            <w:tcBorders>
              <w:top w:val="single" w:sz="4" w:space="0" w:color="auto"/>
              <w:left w:val="single" w:sz="18" w:space="0" w:color="auto"/>
              <w:bottom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8.368</w:t>
            </w:r>
          </w:p>
        </w:tc>
        <w:tc>
          <w:tcPr>
            <w:tcW w:w="1276" w:type="dxa"/>
            <w:tcBorders>
              <w:top w:val="single" w:sz="4" w:space="0" w:color="auto"/>
              <w:bottom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8.697</w:t>
            </w:r>
          </w:p>
        </w:tc>
        <w:tc>
          <w:tcPr>
            <w:tcW w:w="1418" w:type="dxa"/>
            <w:tcBorders>
              <w:top w:val="single" w:sz="4" w:space="0" w:color="auto"/>
              <w:bottom w:val="single" w:sz="18" w:space="0" w:color="auto"/>
              <w:right w:val="single" w:sz="18" w:space="0" w:color="auto"/>
            </w:tcBorders>
            <w:shd w:val="clear" w:color="auto" w:fill="auto"/>
            <w:vAlign w:val="center"/>
          </w:tcPr>
          <w:p w:rsidR="00160513" w:rsidRDefault="00160513">
            <w:pPr>
              <w:ind w:firstLineChars="100" w:firstLine="220"/>
              <w:jc w:val="right"/>
              <w:rPr>
                <w:rFonts w:ascii="CorpoS" w:hAnsi="CorpoS" w:cs="Arial"/>
                <w:sz w:val="22"/>
                <w:szCs w:val="22"/>
              </w:rPr>
            </w:pPr>
            <w:r>
              <w:rPr>
                <w:rFonts w:ascii="CorpoS" w:hAnsi="CorpoS" w:cs="Arial"/>
                <w:sz w:val="22"/>
                <w:szCs w:val="22"/>
              </w:rPr>
              <w:t>+ 3,9 %</w:t>
            </w:r>
          </w:p>
        </w:tc>
      </w:tr>
    </w:tbl>
    <w:p w:rsidR="002C2460" w:rsidRDefault="002C2460" w:rsidP="00766743">
      <w:pPr>
        <w:ind w:right="1984"/>
        <w:jc w:val="both"/>
        <w:rPr>
          <w:rFonts w:ascii="CorpoS" w:hAnsi="CorpoS"/>
          <w:lang w:val="de-DE"/>
        </w:rPr>
      </w:pPr>
    </w:p>
    <w:p w:rsidR="00966D07" w:rsidRDefault="00966D07" w:rsidP="00766743">
      <w:pPr>
        <w:ind w:right="1984"/>
        <w:jc w:val="both"/>
        <w:rPr>
          <w:rFonts w:ascii="CorpoS" w:hAnsi="CorpoS"/>
          <w:lang w:val="de-DE"/>
        </w:rPr>
      </w:pPr>
    </w:p>
    <w:p w:rsidR="002C2460" w:rsidRPr="00C84525" w:rsidRDefault="002C2460" w:rsidP="00766743">
      <w:pPr>
        <w:ind w:right="1984"/>
        <w:jc w:val="both"/>
        <w:rPr>
          <w:rFonts w:ascii="CorpoS" w:hAnsi="CorpoS"/>
          <w:lang w:val="de-DE"/>
        </w:rPr>
      </w:pPr>
    </w:p>
    <w:p w:rsidR="00C51A14" w:rsidRPr="004E6EA9" w:rsidRDefault="00C51A14" w:rsidP="00C51A14">
      <w:pPr>
        <w:ind w:right="1984"/>
        <w:jc w:val="both"/>
        <w:rPr>
          <w:rFonts w:ascii="CorpoS" w:hAnsi="CorpoS"/>
          <w:b/>
          <w:sz w:val="20"/>
          <w:u w:val="single"/>
          <w:lang w:val="de-DE"/>
        </w:rPr>
      </w:pPr>
      <w:r w:rsidRPr="004E6EA9">
        <w:rPr>
          <w:rFonts w:ascii="CorpoS" w:hAnsi="CorpoS"/>
          <w:b/>
          <w:sz w:val="20"/>
          <w:u w:val="single"/>
          <w:lang w:val="de-DE"/>
        </w:rPr>
        <w:lastRenderedPageBreak/>
        <w:t>Über die MTU Aero Engines</w:t>
      </w:r>
    </w:p>
    <w:p w:rsidR="00C914C3" w:rsidRDefault="00C914C3" w:rsidP="00C914C3">
      <w:pPr>
        <w:ind w:right="424"/>
        <w:jc w:val="both"/>
        <w:rPr>
          <w:rFonts w:ascii="CorpoS" w:hAnsi="CorpoS"/>
          <w:sz w:val="20"/>
          <w:lang w:val="de-DE"/>
        </w:rPr>
      </w:pPr>
      <w:r w:rsidRPr="005D66B3">
        <w:rPr>
          <w:rFonts w:ascii="CorpoS" w:hAnsi="CorpoS"/>
          <w:sz w:val="20"/>
          <w:lang w:val="de-DE"/>
        </w:rPr>
        <w:t>Die MTU Aero Engines AG ist Deutschlands führender Triebwerkshersteller. Die Kernkompetenzen der MTU liegen bei Niederdruckturbinen, Hochdruckverdichtern, Turbinenzwischengehäusen sowie Herstell- und Rep</w:t>
      </w:r>
      <w:r w:rsidRPr="005D66B3">
        <w:rPr>
          <w:rFonts w:ascii="CorpoS" w:hAnsi="CorpoS"/>
          <w:sz w:val="20"/>
          <w:lang w:val="de-DE"/>
        </w:rPr>
        <w:t>a</w:t>
      </w:r>
      <w:r w:rsidRPr="005D66B3">
        <w:rPr>
          <w:rFonts w:ascii="CorpoS" w:hAnsi="CorpoS"/>
          <w:sz w:val="20"/>
          <w:lang w:val="de-DE"/>
        </w:rPr>
        <w:t xml:space="preserve">raturverfahren. Im zivilen Neugeschäft spielt das Unternehmen eine Schlüsselrolle </w:t>
      </w:r>
      <w:r>
        <w:rPr>
          <w:rFonts w:ascii="CorpoS" w:hAnsi="CorpoS"/>
          <w:sz w:val="20"/>
          <w:lang w:val="de-DE"/>
        </w:rPr>
        <w:t xml:space="preserve">mit </w:t>
      </w:r>
      <w:r w:rsidRPr="005D66B3">
        <w:rPr>
          <w:rFonts w:ascii="CorpoS" w:hAnsi="CorpoS"/>
          <w:sz w:val="20"/>
          <w:lang w:val="de-DE"/>
        </w:rPr>
        <w:t>der Entwicklung, Fert</w:t>
      </w:r>
      <w:r w:rsidRPr="005D66B3">
        <w:rPr>
          <w:rFonts w:ascii="CorpoS" w:hAnsi="CorpoS"/>
          <w:sz w:val="20"/>
          <w:lang w:val="de-DE"/>
        </w:rPr>
        <w:t>i</w:t>
      </w:r>
      <w:r w:rsidRPr="005D66B3">
        <w:rPr>
          <w:rFonts w:ascii="CorpoS" w:hAnsi="CorpoS"/>
          <w:sz w:val="20"/>
          <w:lang w:val="de-DE"/>
        </w:rPr>
        <w:t>gung und dem Vertrieb von Hightech-Komponenten im Rahmen internationaler Partnerschaften. MTU-Bauteile kommen bei einem Drittel der weltweiten Verkehrsflugzeuge zum Einsatz. Im Bereich der zivilen Instandhaltung zählt das Unternehmen zu den Top 5 der weltweiten Dienstleister für Luftfahrtantriebe und Industriegasturb</w:t>
      </w:r>
      <w:r w:rsidRPr="005D66B3">
        <w:rPr>
          <w:rFonts w:ascii="CorpoS" w:hAnsi="CorpoS"/>
          <w:sz w:val="20"/>
          <w:lang w:val="de-DE"/>
        </w:rPr>
        <w:t>i</w:t>
      </w:r>
      <w:r w:rsidRPr="005D66B3">
        <w:rPr>
          <w:rFonts w:ascii="CorpoS" w:hAnsi="CorpoS"/>
          <w:sz w:val="20"/>
          <w:lang w:val="de-DE"/>
        </w:rPr>
        <w:t>nen. Die Aktivitäten sind unter dem Dach der MTU Maintenance zusammengefasst. Auf dem militärischen G</w:t>
      </w:r>
      <w:r w:rsidRPr="005D66B3">
        <w:rPr>
          <w:rFonts w:ascii="CorpoS" w:hAnsi="CorpoS"/>
          <w:sz w:val="20"/>
          <w:lang w:val="de-DE"/>
        </w:rPr>
        <w:t>e</w:t>
      </w:r>
      <w:r w:rsidRPr="005D66B3">
        <w:rPr>
          <w:rFonts w:ascii="CorpoS" w:hAnsi="CorpoS"/>
          <w:sz w:val="20"/>
          <w:lang w:val="de-DE"/>
        </w:rPr>
        <w:t>biet ist die MTU Aero Engines der Systempartner für fast alle Luftfahrtantriebe der Bundeswehr. Die MTU u</w:t>
      </w:r>
      <w:r w:rsidRPr="005D66B3">
        <w:rPr>
          <w:rFonts w:ascii="CorpoS" w:hAnsi="CorpoS"/>
          <w:sz w:val="20"/>
          <w:lang w:val="de-DE"/>
        </w:rPr>
        <w:t>n</w:t>
      </w:r>
      <w:r w:rsidRPr="005D66B3">
        <w:rPr>
          <w:rFonts w:ascii="CorpoS" w:hAnsi="CorpoS"/>
          <w:sz w:val="20"/>
          <w:lang w:val="de-DE"/>
        </w:rPr>
        <w:t>terhält Standorte weltweit</w:t>
      </w:r>
      <w:r>
        <w:rPr>
          <w:rFonts w:ascii="CorpoS" w:hAnsi="CorpoS"/>
          <w:sz w:val="20"/>
          <w:lang w:val="de-DE"/>
        </w:rPr>
        <w:t>; Unternehmenssitz ist München.</w:t>
      </w:r>
    </w:p>
    <w:p w:rsidR="00C51A14" w:rsidRDefault="00C51A14" w:rsidP="00C51A14">
      <w:pPr>
        <w:ind w:right="424"/>
        <w:jc w:val="both"/>
        <w:rPr>
          <w:rFonts w:ascii="CorpoS" w:hAnsi="CorpoS" w:cs="Arial"/>
          <w:sz w:val="20"/>
          <w:lang w:val="de-DE"/>
        </w:rPr>
      </w:pPr>
    </w:p>
    <w:p w:rsidR="00C51A14" w:rsidRDefault="00C51A14" w:rsidP="00C51A14">
      <w:pPr>
        <w:ind w:right="424"/>
        <w:jc w:val="both"/>
        <w:rPr>
          <w:rFonts w:ascii="CorpoS" w:hAnsi="CorpoS" w:cs="Arial"/>
          <w:sz w:val="20"/>
          <w:lang w:val="de-DE"/>
        </w:rPr>
      </w:pPr>
    </w:p>
    <w:p w:rsidR="00C51A14" w:rsidRPr="004E6EA9" w:rsidRDefault="00C51A14" w:rsidP="00C51A14">
      <w:pPr>
        <w:rPr>
          <w:rFonts w:ascii="CorpoS" w:hAnsi="CorpoS"/>
          <w:sz w:val="20"/>
          <w:u w:val="single"/>
          <w:lang w:val="de-DE"/>
        </w:rPr>
      </w:pPr>
      <w:r w:rsidRPr="004E6EA9">
        <w:rPr>
          <w:rFonts w:ascii="CorpoS" w:hAnsi="CorpoS"/>
          <w:sz w:val="20"/>
          <w:u w:val="single"/>
          <w:lang w:val="de-DE"/>
        </w:rPr>
        <w:t>Ihre Ansprechpartner:</w:t>
      </w:r>
    </w:p>
    <w:p w:rsidR="00C51A14" w:rsidRPr="004E6EA9" w:rsidRDefault="00C51A14" w:rsidP="00C51A14">
      <w:pPr>
        <w:rPr>
          <w:rFonts w:ascii="CorpoS" w:hAnsi="CorpoS"/>
          <w:sz w:val="20"/>
          <w:lang w:val="de-DE"/>
        </w:rPr>
      </w:pPr>
      <w:r w:rsidRPr="004E6EA9">
        <w:rPr>
          <w:rFonts w:ascii="CorpoS" w:hAnsi="CorpoS"/>
          <w:sz w:val="20"/>
          <w:lang w:val="de-DE"/>
        </w:rPr>
        <w:t>Eckhard Zanger</w:t>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t>Eva Simon</w:t>
      </w:r>
    </w:p>
    <w:p w:rsidR="00C51A14" w:rsidRPr="004E6EA9" w:rsidRDefault="00C51A14" w:rsidP="00C51A14">
      <w:pPr>
        <w:rPr>
          <w:rFonts w:ascii="CorpoS" w:hAnsi="CorpoS"/>
          <w:sz w:val="20"/>
          <w:lang w:val="de-DE"/>
        </w:rPr>
      </w:pPr>
      <w:r w:rsidRPr="004E6EA9">
        <w:rPr>
          <w:rFonts w:ascii="CorpoS" w:hAnsi="CorpoS"/>
          <w:sz w:val="20"/>
          <w:lang w:val="de-DE"/>
        </w:rPr>
        <w:t xml:space="preserve">Leiter Unternehmenskommunikation </w:t>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t>Pressesprecherin Finanzen</w:t>
      </w:r>
    </w:p>
    <w:p w:rsidR="00C51A14" w:rsidRPr="00C51A14" w:rsidRDefault="00C51A14" w:rsidP="00C51A14">
      <w:pPr>
        <w:rPr>
          <w:rFonts w:ascii="CorpoS" w:hAnsi="CorpoS"/>
          <w:sz w:val="20"/>
          <w:lang w:val="en-US"/>
        </w:rPr>
      </w:pPr>
      <w:r w:rsidRPr="00C51A14">
        <w:rPr>
          <w:rFonts w:ascii="CorpoS" w:hAnsi="CorpoS"/>
          <w:sz w:val="20"/>
          <w:lang w:val="en-US"/>
        </w:rPr>
        <w:t xml:space="preserve">und Public Affairs </w:t>
      </w:r>
      <w:r w:rsidRPr="00C51A14">
        <w:rPr>
          <w:rFonts w:ascii="CorpoS" w:hAnsi="CorpoS"/>
          <w:sz w:val="20"/>
          <w:lang w:val="en-US"/>
        </w:rPr>
        <w:tab/>
      </w:r>
    </w:p>
    <w:p w:rsidR="00C51A14" w:rsidRPr="00C51A14" w:rsidRDefault="00C51A14" w:rsidP="00C51A14">
      <w:pPr>
        <w:rPr>
          <w:rFonts w:ascii="CorpoS" w:hAnsi="CorpoS"/>
          <w:sz w:val="20"/>
          <w:lang w:val="en-US"/>
        </w:rPr>
      </w:pPr>
      <w:r w:rsidRPr="00C51A14">
        <w:rPr>
          <w:rFonts w:ascii="CorpoS" w:hAnsi="CorpoS"/>
          <w:sz w:val="20"/>
          <w:lang w:val="en-US"/>
        </w:rPr>
        <w:t>Tel.: + 49 (0)89 14 89-91 13</w:t>
      </w:r>
      <w:r w:rsidRPr="00C51A14">
        <w:rPr>
          <w:rFonts w:ascii="CorpoS" w:hAnsi="CorpoS"/>
          <w:sz w:val="20"/>
          <w:lang w:val="en-US"/>
        </w:rPr>
        <w:tab/>
      </w:r>
      <w:r w:rsidRPr="00C51A14">
        <w:rPr>
          <w:rFonts w:ascii="CorpoS" w:hAnsi="CorpoS"/>
          <w:sz w:val="20"/>
          <w:lang w:val="en-US"/>
        </w:rPr>
        <w:tab/>
      </w:r>
      <w:r w:rsidRPr="00C51A14">
        <w:rPr>
          <w:rFonts w:ascii="CorpoS" w:hAnsi="CorpoS"/>
          <w:sz w:val="20"/>
          <w:lang w:val="en-US"/>
        </w:rPr>
        <w:tab/>
      </w:r>
      <w:r w:rsidRPr="00C51A14">
        <w:rPr>
          <w:rFonts w:ascii="CorpoS" w:hAnsi="CorpoS"/>
          <w:sz w:val="20"/>
          <w:lang w:val="en-US"/>
        </w:rPr>
        <w:tab/>
        <w:t>Tel.: +49 (0)89 14 89-43 32</w:t>
      </w:r>
      <w:r w:rsidRPr="00C51A14">
        <w:rPr>
          <w:rFonts w:ascii="CorpoS" w:hAnsi="CorpoS"/>
          <w:sz w:val="20"/>
          <w:lang w:val="en-US"/>
        </w:rPr>
        <w:tab/>
      </w:r>
    </w:p>
    <w:p w:rsidR="00C51A14" w:rsidRPr="004E6EA9" w:rsidRDefault="00C51A14" w:rsidP="00C51A14">
      <w:pPr>
        <w:rPr>
          <w:rFonts w:ascii="CorpoS" w:hAnsi="CorpoS"/>
          <w:sz w:val="20"/>
          <w:lang w:val="de-DE"/>
        </w:rPr>
      </w:pPr>
      <w:r w:rsidRPr="004E6EA9">
        <w:rPr>
          <w:rFonts w:ascii="CorpoS" w:hAnsi="CorpoS"/>
          <w:sz w:val="20"/>
          <w:lang w:val="de-DE"/>
        </w:rPr>
        <w:t>Mobil: + 49 (0) 176-1000 6158</w:t>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t>Mobil: +49 (0) 176-1008 4162</w:t>
      </w:r>
    </w:p>
    <w:p w:rsidR="00C51A14" w:rsidRPr="004E6EA9" w:rsidRDefault="00C51A14" w:rsidP="00C51A14">
      <w:pPr>
        <w:rPr>
          <w:rFonts w:ascii="CorpoS" w:hAnsi="CorpoS"/>
          <w:sz w:val="20"/>
          <w:lang w:val="de-DE"/>
        </w:rPr>
      </w:pPr>
      <w:r w:rsidRPr="004E6EA9">
        <w:rPr>
          <w:rFonts w:ascii="CorpoS" w:hAnsi="CorpoS"/>
          <w:sz w:val="20"/>
          <w:lang w:val="de-DE"/>
        </w:rPr>
        <w:t xml:space="preserve">E-Mail: Eckhard.Zanger@mtu.de  </w:t>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t>E-Mail: Eva.Simon@mtu.de</w:t>
      </w:r>
    </w:p>
    <w:p w:rsidR="00C51A14" w:rsidRPr="004E6EA9" w:rsidRDefault="00C51A14" w:rsidP="00C51A14">
      <w:pPr>
        <w:rPr>
          <w:rFonts w:ascii="CorpoS" w:hAnsi="CorpoS"/>
          <w:szCs w:val="24"/>
          <w:u w:val="single"/>
          <w:lang w:val="de-DE"/>
        </w:rPr>
      </w:pPr>
    </w:p>
    <w:p w:rsidR="00C51A14" w:rsidRPr="004E6EA9" w:rsidRDefault="00C51A14" w:rsidP="00C51A14">
      <w:pPr>
        <w:pStyle w:val="MTUBodycopy"/>
        <w:tabs>
          <w:tab w:val="left" w:pos="8505"/>
        </w:tabs>
        <w:ind w:right="1984"/>
        <w:jc w:val="both"/>
        <w:rPr>
          <w:lang w:val="de-DE"/>
        </w:rPr>
      </w:pPr>
    </w:p>
    <w:p w:rsidR="00C51A14" w:rsidRPr="004E6EA9" w:rsidRDefault="00C51A14" w:rsidP="00C51A14">
      <w:pPr>
        <w:pStyle w:val="MTUBodycopy"/>
        <w:tabs>
          <w:tab w:val="left" w:pos="8505"/>
        </w:tabs>
        <w:ind w:right="1984"/>
        <w:jc w:val="both"/>
        <w:rPr>
          <w:i/>
          <w:lang w:val="de-DE"/>
        </w:rPr>
      </w:pPr>
      <w:r w:rsidRPr="004E6EA9">
        <w:rPr>
          <w:i/>
          <w:lang w:val="de-DE"/>
        </w:rPr>
        <w:t xml:space="preserve">Alle Presse-Infos und Bilder unter </w:t>
      </w:r>
      <w:r w:rsidR="0001206F">
        <w:fldChar w:fldCharType="begin"/>
      </w:r>
      <w:r w:rsidR="0001206F" w:rsidRPr="0001206F">
        <w:rPr>
          <w:lang w:val="de-DE"/>
          <w:rPrChange w:id="1" w:author="Autor">
            <w:rPr/>
          </w:rPrChange>
        </w:rPr>
        <w:instrText xml:space="preserve"> HYPERLINK "http://www.mtu.de" </w:instrText>
      </w:r>
      <w:r w:rsidR="0001206F">
        <w:fldChar w:fldCharType="separate"/>
      </w:r>
      <w:r w:rsidRPr="004E6EA9">
        <w:rPr>
          <w:rStyle w:val="Hyperlink"/>
          <w:i/>
          <w:color w:val="auto"/>
          <w:lang w:val="de-DE"/>
        </w:rPr>
        <w:t>http://www.mtu.de</w:t>
      </w:r>
      <w:r w:rsidR="0001206F">
        <w:rPr>
          <w:rStyle w:val="Hyperlink"/>
          <w:i/>
          <w:color w:val="auto"/>
          <w:lang w:val="de-DE"/>
        </w:rPr>
        <w:fldChar w:fldCharType="end"/>
      </w:r>
    </w:p>
    <w:p w:rsidR="00C51A14" w:rsidRPr="004E6EA9" w:rsidRDefault="00C51A14" w:rsidP="00C51A14">
      <w:pPr>
        <w:pStyle w:val="MTUBodycopy"/>
        <w:tabs>
          <w:tab w:val="left" w:pos="8505"/>
        </w:tabs>
        <w:ind w:right="1984"/>
        <w:jc w:val="both"/>
        <w:rPr>
          <w:i/>
          <w:lang w:val="de-DE"/>
        </w:rPr>
      </w:pPr>
    </w:p>
    <w:p w:rsidR="00C51A14" w:rsidRPr="004E6EA9" w:rsidRDefault="00C51A14" w:rsidP="00C51A14">
      <w:pPr>
        <w:pStyle w:val="MTUBodycopy"/>
        <w:tabs>
          <w:tab w:val="left" w:pos="8505"/>
        </w:tabs>
        <w:ind w:right="1984"/>
        <w:jc w:val="both"/>
        <w:rPr>
          <w:i/>
          <w:lang w:val="de-DE"/>
        </w:rPr>
      </w:pPr>
    </w:p>
    <w:p w:rsidR="00C51A14" w:rsidRPr="0021479B" w:rsidRDefault="00C51A14" w:rsidP="00C51A14">
      <w:pPr>
        <w:rPr>
          <w:rStyle w:val="h41"/>
          <w:rFonts w:ascii="CorpoS" w:hAnsi="CorpoS"/>
          <w:color w:val="auto"/>
          <w:sz w:val="16"/>
          <w:szCs w:val="16"/>
          <w:lang w:val="de-DE"/>
        </w:rPr>
      </w:pPr>
      <w:r w:rsidRPr="0021479B">
        <w:rPr>
          <w:rStyle w:val="h41"/>
          <w:rFonts w:ascii="CorpoS" w:hAnsi="CorpoS"/>
          <w:color w:val="auto"/>
          <w:sz w:val="16"/>
          <w:szCs w:val="16"/>
          <w:lang w:val="de-DE"/>
        </w:rPr>
        <w:t>Vorbehalt bei Zukunftsaussagen</w:t>
      </w:r>
    </w:p>
    <w:p w:rsidR="00C51A14" w:rsidRPr="00135B9B" w:rsidRDefault="00C51A14" w:rsidP="00C51A14">
      <w:pPr>
        <w:rPr>
          <w:rFonts w:ascii="CorpoS" w:hAnsi="CorpoS"/>
          <w:sz w:val="16"/>
          <w:szCs w:val="16"/>
          <w:lang w:val="de-DE"/>
        </w:rPr>
      </w:pPr>
    </w:p>
    <w:p w:rsidR="00DD64E9" w:rsidRPr="00C51A14" w:rsidRDefault="00C51A14" w:rsidP="00C51A14">
      <w:pPr>
        <w:ind w:right="283"/>
        <w:jc w:val="both"/>
        <w:rPr>
          <w:rFonts w:ascii="CorpoS" w:hAnsi="CorpoS"/>
          <w:b/>
          <w:sz w:val="22"/>
          <w:szCs w:val="22"/>
          <w:lang w:val="de-DE"/>
        </w:rPr>
      </w:pPr>
      <w:r w:rsidRPr="00135B9B">
        <w:rPr>
          <w:rFonts w:ascii="CorpoS" w:hAnsi="CorpoS"/>
          <w:sz w:val="16"/>
          <w:szCs w:val="16"/>
          <w:lang w:val="de-DE"/>
        </w:rPr>
        <w:t xml:space="preserve">Diese Pressemitteilung enthält </w:t>
      </w:r>
      <w:proofErr w:type="spellStart"/>
      <w:r w:rsidRPr="00135B9B">
        <w:rPr>
          <w:rFonts w:ascii="CorpoS" w:hAnsi="CorpoS"/>
          <w:sz w:val="16"/>
          <w:szCs w:val="16"/>
          <w:lang w:val="de-DE"/>
        </w:rPr>
        <w:t>zukunftsgerichtete</w:t>
      </w:r>
      <w:proofErr w:type="spellEnd"/>
      <w:r w:rsidRPr="00135B9B">
        <w:rPr>
          <w:rFonts w:ascii="CorpoS" w:hAnsi="CorpoS"/>
          <w:sz w:val="16"/>
          <w:szCs w:val="16"/>
          <w:lang w:val="de-DE"/>
        </w:rPr>
        <w:t xml:space="preserve"> Aussagen. Diese Aussagen spiegeln die gegenwärtigen Auffassungen, Erwartungen und Annahmen der Geschäftsführung der MTU Aero Engines wider und basieren auf Informationen, die der Geschäftsführung zum gegenwärtigen Zeitpunkt zur Verfügung stehen. </w:t>
      </w:r>
      <w:proofErr w:type="spellStart"/>
      <w:r w:rsidRPr="00135B9B">
        <w:rPr>
          <w:rFonts w:ascii="CorpoS" w:hAnsi="CorpoS"/>
          <w:sz w:val="16"/>
          <w:szCs w:val="16"/>
          <w:lang w:val="de-DE"/>
        </w:rPr>
        <w:t>Zukunftsgerichtete</w:t>
      </w:r>
      <w:proofErr w:type="spellEnd"/>
      <w:r w:rsidRPr="00135B9B">
        <w:rPr>
          <w:rFonts w:ascii="CorpoS" w:hAnsi="CorpoS"/>
          <w:sz w:val="16"/>
          <w:szCs w:val="16"/>
          <w:lang w:val="de-DE"/>
        </w:rPr>
        <w:t xml:space="preserve"> Aussagen enthalten keine Gewähr für den Eintritt zukünftiger Ergebnisse und Entwic</w:t>
      </w:r>
      <w:r w:rsidRPr="00135B9B">
        <w:rPr>
          <w:rFonts w:ascii="CorpoS" w:hAnsi="CorpoS"/>
          <w:sz w:val="16"/>
          <w:szCs w:val="16"/>
          <w:lang w:val="de-DE"/>
        </w:rPr>
        <w:t>k</w:t>
      </w:r>
      <w:r w:rsidRPr="00135B9B">
        <w:rPr>
          <w:rFonts w:ascii="CorpoS" w:hAnsi="CorpoS"/>
          <w:sz w:val="16"/>
          <w:szCs w:val="16"/>
          <w:lang w:val="de-DE"/>
        </w:rPr>
        <w:t>lungen und sind mit Risiken und Unsicherheiten verbunden. Die tatsächlichen zukünftigen Ergebnisse der MTU Aero Engines und Entwic</w:t>
      </w:r>
      <w:r w:rsidRPr="00135B9B">
        <w:rPr>
          <w:rFonts w:ascii="CorpoS" w:hAnsi="CorpoS"/>
          <w:sz w:val="16"/>
          <w:szCs w:val="16"/>
          <w:lang w:val="de-DE"/>
        </w:rPr>
        <w:t>k</w:t>
      </w:r>
      <w:r w:rsidRPr="00135B9B">
        <w:rPr>
          <w:rFonts w:ascii="CorpoS" w:hAnsi="CorpoS"/>
          <w:sz w:val="16"/>
          <w:szCs w:val="16"/>
          <w:lang w:val="de-DE"/>
        </w:rPr>
        <w:t>lungen betreffend die MTU Aero Engines können daher aufgrund verschiedener Faktoren wesentlich von den hier geäußerten Erwartungen und Annahmen abweichen. Zu diesen Faktoren gehören insbesondere Veränderungen der allgemeinen wirtschaftlichen Lage und der Wet</w:t>
      </w:r>
      <w:r w:rsidRPr="00135B9B">
        <w:rPr>
          <w:rFonts w:ascii="CorpoS" w:hAnsi="CorpoS"/>
          <w:sz w:val="16"/>
          <w:szCs w:val="16"/>
          <w:lang w:val="de-DE"/>
        </w:rPr>
        <w:t>t</w:t>
      </w:r>
      <w:r w:rsidRPr="00135B9B">
        <w:rPr>
          <w:rFonts w:ascii="CorpoS" w:hAnsi="CorpoS"/>
          <w:sz w:val="16"/>
          <w:szCs w:val="16"/>
          <w:lang w:val="de-DE"/>
        </w:rPr>
        <w:t>bewerbssi</w:t>
      </w:r>
      <w:r>
        <w:rPr>
          <w:rFonts w:ascii="CorpoS" w:hAnsi="CorpoS"/>
          <w:sz w:val="16"/>
          <w:szCs w:val="16"/>
          <w:lang w:val="de-DE"/>
        </w:rPr>
        <w:t xml:space="preserve">tuation, die </w:t>
      </w:r>
      <w:proofErr w:type="spellStart"/>
      <w:r>
        <w:rPr>
          <w:rFonts w:ascii="CorpoS" w:hAnsi="CorpoS"/>
          <w:sz w:val="16"/>
          <w:szCs w:val="16"/>
          <w:lang w:val="de-DE"/>
        </w:rPr>
        <w:t>Zykli</w:t>
      </w:r>
      <w:r w:rsidRPr="00135B9B">
        <w:rPr>
          <w:rFonts w:ascii="CorpoS" w:hAnsi="CorpoS"/>
          <w:sz w:val="16"/>
          <w:szCs w:val="16"/>
          <w:lang w:val="de-DE"/>
        </w:rPr>
        <w:t>zität</w:t>
      </w:r>
      <w:proofErr w:type="spellEnd"/>
      <w:r w:rsidRPr="00135B9B">
        <w:rPr>
          <w:rFonts w:ascii="CorpoS" w:hAnsi="CorpoS"/>
          <w:sz w:val="16"/>
          <w:szCs w:val="16"/>
          <w:lang w:val="de-DE"/>
        </w:rPr>
        <w:t xml:space="preserve"> der Flugzeugindustrie und Risiken in Zusammenhang mit der Beteiligung der MTU Aero Engines an Konsort</w:t>
      </w:r>
      <w:r w:rsidRPr="00135B9B">
        <w:rPr>
          <w:rFonts w:ascii="CorpoS" w:hAnsi="CorpoS"/>
          <w:sz w:val="16"/>
          <w:szCs w:val="16"/>
          <w:lang w:val="de-DE"/>
        </w:rPr>
        <w:t>i</w:t>
      </w:r>
      <w:r w:rsidRPr="00135B9B">
        <w:rPr>
          <w:rFonts w:ascii="CorpoS" w:hAnsi="CorpoS"/>
          <w:sz w:val="16"/>
          <w:szCs w:val="16"/>
          <w:lang w:val="de-DE"/>
        </w:rPr>
        <w:t>en für die Entwicklung und den Bau von neuen Triebwerken. Darüber hinaus können die Entwicklungen auf den Finanzmärkten und Wechse</w:t>
      </w:r>
      <w:r w:rsidRPr="00135B9B">
        <w:rPr>
          <w:rFonts w:ascii="CorpoS" w:hAnsi="CorpoS"/>
          <w:sz w:val="16"/>
          <w:szCs w:val="16"/>
          <w:lang w:val="de-DE"/>
        </w:rPr>
        <w:t>l</w:t>
      </w:r>
      <w:r w:rsidRPr="00135B9B">
        <w:rPr>
          <w:rFonts w:ascii="CorpoS" w:hAnsi="CorpoS"/>
          <w:sz w:val="16"/>
          <w:szCs w:val="16"/>
          <w:lang w:val="de-DE"/>
        </w:rPr>
        <w:t>kursschwankungen sowie nationale und internationale Gesetzesänderungen, insbesondere in Bezug auf steuerliche Regelungen und Gesetze betreffend die Herstellung und den Einsatz von Triebwerken im Luftverkehr, sowie andere Faktoren einen Einfluss auf die zukünftigen Erge</w:t>
      </w:r>
      <w:r w:rsidRPr="00135B9B">
        <w:rPr>
          <w:rFonts w:ascii="CorpoS" w:hAnsi="CorpoS"/>
          <w:sz w:val="16"/>
          <w:szCs w:val="16"/>
          <w:lang w:val="de-DE"/>
        </w:rPr>
        <w:t>b</w:t>
      </w:r>
      <w:r w:rsidRPr="00135B9B">
        <w:rPr>
          <w:rFonts w:ascii="CorpoS" w:hAnsi="CorpoS"/>
          <w:sz w:val="16"/>
          <w:szCs w:val="16"/>
          <w:lang w:val="de-DE"/>
        </w:rPr>
        <w:t>nisse und Entwicklungen der MTU Aero Engines haben. Terroranschläge und deren Folgen können die Wahrscheinlichkeit und das Ausmaß von Abweichungen erhöhen. Die MTU Aero Engines übernimmt keine Verpflichtung, die in dieser Mitteilung enthaltenen Aussagen zu aktual</w:t>
      </w:r>
      <w:r w:rsidRPr="00135B9B">
        <w:rPr>
          <w:rFonts w:ascii="CorpoS" w:hAnsi="CorpoS"/>
          <w:sz w:val="16"/>
          <w:szCs w:val="16"/>
          <w:lang w:val="de-DE"/>
        </w:rPr>
        <w:t>i</w:t>
      </w:r>
      <w:r w:rsidRPr="00135B9B">
        <w:rPr>
          <w:rFonts w:ascii="CorpoS" w:hAnsi="CorpoS"/>
          <w:sz w:val="16"/>
          <w:szCs w:val="16"/>
          <w:lang w:val="de-DE"/>
        </w:rPr>
        <w:t>sieren.</w:t>
      </w:r>
    </w:p>
    <w:sectPr w:rsidR="00DD64E9" w:rsidRPr="00C51A14" w:rsidSect="00694A29">
      <w:headerReference w:type="default" r:id="rId9"/>
      <w:footerReference w:type="default" r:id="rId10"/>
      <w:headerReference w:type="first" r:id="rId11"/>
      <w:footerReference w:type="first" r:id="rId12"/>
      <w:type w:val="continuous"/>
      <w:pgSz w:w="11907" w:h="16840" w:code="9"/>
      <w:pgMar w:top="2663" w:right="1134" w:bottom="2268" w:left="1418"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D6" w:rsidRDefault="008612D6">
      <w:r>
        <w:separator/>
      </w:r>
    </w:p>
  </w:endnote>
  <w:endnote w:type="continuationSeparator" w:id="0">
    <w:p w:rsidR="008612D6" w:rsidRDefault="0086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Default="00051E60">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Default="00051E60">
    <w:pPr>
      <w:pStyle w:val="Fuzeile"/>
      <w:spacing w:line="160" w:lineRule="exact"/>
      <w:rPr>
        <w:rFonts w:ascii="CorpoS" w:hAnsi="CorpoS"/>
        <w:color w:val="000000"/>
        <w:sz w:val="15"/>
      </w:rPr>
    </w:pPr>
    <w:r>
      <w:rPr>
        <w:rFonts w:ascii="CorpoS" w:hAnsi="CorpoS"/>
        <w:color w:val="000000"/>
        <w:sz w:val="15"/>
      </w:rPr>
      <w:t>MTU Aero Engines AG</w:t>
    </w:r>
  </w:p>
  <w:p w:rsidR="00051E60" w:rsidRDefault="00051E60">
    <w:pPr>
      <w:pStyle w:val="Fuzeile"/>
      <w:spacing w:line="160" w:lineRule="exact"/>
      <w:rPr>
        <w:rFonts w:ascii="CorpoS" w:hAnsi="CorpoS"/>
        <w:color w:val="000000"/>
        <w:sz w:val="15"/>
      </w:rPr>
    </w:pPr>
    <w:r>
      <w:rPr>
        <w:rFonts w:ascii="CorpoS" w:hAnsi="CorpoS"/>
        <w:color w:val="000000"/>
        <w:sz w:val="15"/>
      </w:rPr>
      <w:t>Corporate Communications</w:t>
    </w:r>
  </w:p>
  <w:p w:rsidR="00051E60" w:rsidRPr="00150467" w:rsidRDefault="00051E60">
    <w:pPr>
      <w:pStyle w:val="Fuzeile"/>
      <w:spacing w:line="160" w:lineRule="exact"/>
      <w:rPr>
        <w:rFonts w:ascii="CorpoS" w:hAnsi="CorpoS"/>
        <w:color w:val="000000"/>
        <w:sz w:val="15"/>
        <w:lang w:val="de-DE"/>
      </w:rPr>
    </w:pPr>
    <w:r w:rsidRPr="00150467">
      <w:rPr>
        <w:rFonts w:ascii="CorpoS" w:hAnsi="CorpoS"/>
        <w:color w:val="000000"/>
        <w:sz w:val="15"/>
        <w:lang w:val="de-DE"/>
      </w:rPr>
      <w:t>and Public Affairs</w:t>
    </w:r>
  </w:p>
  <w:p w:rsidR="00051E60" w:rsidRPr="00150467" w:rsidRDefault="00051E60">
    <w:pPr>
      <w:pStyle w:val="Fuzeile"/>
      <w:spacing w:line="160" w:lineRule="exact"/>
      <w:rPr>
        <w:rFonts w:ascii="CorpoS" w:hAnsi="CorpoS"/>
        <w:color w:val="000000"/>
        <w:sz w:val="15"/>
        <w:lang w:val="de-DE"/>
      </w:rPr>
    </w:pPr>
    <w:r w:rsidRPr="00150467">
      <w:rPr>
        <w:rFonts w:ascii="CorpoS" w:hAnsi="CorpoS"/>
        <w:color w:val="000000"/>
        <w:sz w:val="15"/>
        <w:lang w:val="de-DE"/>
      </w:rPr>
      <w:t>Dachauer Straße 665</w:t>
    </w:r>
  </w:p>
  <w:p w:rsidR="00051E60" w:rsidRDefault="00051E60">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rsidR="00051E60" w:rsidRDefault="00051E60">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Tel</w:t>
    </w:r>
    <w:r>
      <w:rPr>
        <w:rFonts w:ascii="CorpoS" w:hAnsi="CorpoS"/>
        <w:color w:val="000000"/>
        <w:sz w:val="15"/>
        <w:lang w:val="de-DE"/>
      </w:rPr>
      <w:tab/>
      <w:t>+49 (0)89 14 89-</w:t>
    </w:r>
    <w:r w:rsidR="0079305F">
      <w:rPr>
        <w:rFonts w:ascii="CorpoS" w:hAnsi="CorpoS"/>
        <w:color w:val="000000"/>
        <w:sz w:val="15"/>
        <w:lang w:val="de-DE"/>
      </w:rPr>
      <w:t>43 32</w:t>
    </w:r>
  </w:p>
  <w:p w:rsidR="00051E60" w:rsidRDefault="00051E60">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Fax</w:t>
    </w:r>
    <w:r>
      <w:rPr>
        <w:rFonts w:ascii="CorpoS" w:hAnsi="CorpoS"/>
        <w:color w:val="000000"/>
        <w:sz w:val="15"/>
        <w:lang w:val="de-DE"/>
      </w:rPr>
      <w:tab/>
      <w:t>+49 (0)89 14 89-87 57</w:t>
    </w:r>
  </w:p>
  <w:p w:rsidR="00051E60" w:rsidRDefault="00051E60">
    <w:pPr>
      <w:pStyle w:val="Fuzeile"/>
      <w:rPr>
        <w:lang w:val="de-DE"/>
      </w:rPr>
    </w:pPr>
    <w:r>
      <w:rPr>
        <w:rFonts w:ascii="CorpoS" w:hAnsi="CorpoS"/>
        <w:color w:val="000000"/>
        <w:sz w:val="15"/>
        <w:lang w:val="de-DE"/>
      </w:rPr>
      <w:t>www.mtu.de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D6" w:rsidRDefault="008612D6">
      <w:r>
        <w:separator/>
      </w:r>
    </w:p>
  </w:footnote>
  <w:footnote w:type="continuationSeparator" w:id="0">
    <w:p w:rsidR="008612D6" w:rsidRDefault="008612D6">
      <w:r>
        <w:continuationSeparator/>
      </w:r>
    </w:p>
  </w:footnote>
  <w:footnote w:id="1">
    <w:p w:rsidR="00C51A14" w:rsidRPr="0050297F" w:rsidRDefault="00C51A14" w:rsidP="00C51A14">
      <w:pPr>
        <w:pStyle w:val="Funotentext"/>
        <w:rPr>
          <w:rFonts w:ascii="CorpoS" w:hAnsi="CorpoS"/>
          <w:b/>
          <w:sz w:val="16"/>
          <w:szCs w:val="16"/>
          <w:lang w:val="de-DE"/>
        </w:rPr>
      </w:pPr>
      <w:r>
        <w:rPr>
          <w:rStyle w:val="Funotenzeichen"/>
          <w:rFonts w:ascii="CorpoS" w:hAnsi="CorpoS"/>
          <w:b/>
          <w:sz w:val="16"/>
          <w:szCs w:val="16"/>
        </w:rPr>
        <w:footnoteRef/>
      </w:r>
      <w:r w:rsidRPr="0050297F">
        <w:rPr>
          <w:rFonts w:ascii="CorpoS" w:hAnsi="CorpoS"/>
          <w:b/>
          <w:sz w:val="16"/>
          <w:szCs w:val="16"/>
          <w:lang w:val="de-DE"/>
        </w:rPr>
        <w:t xml:space="preserve"> EBIT </w:t>
      </w:r>
      <w:proofErr w:type="spellStart"/>
      <w:r w:rsidRPr="0050297F">
        <w:rPr>
          <w:rFonts w:ascii="CorpoS" w:hAnsi="CorpoS"/>
          <w:b/>
          <w:sz w:val="16"/>
          <w:szCs w:val="16"/>
          <w:lang w:val="de-DE"/>
        </w:rPr>
        <w:t>adjusted</w:t>
      </w:r>
      <w:proofErr w:type="spellEnd"/>
      <w:r w:rsidRPr="0050297F">
        <w:rPr>
          <w:rFonts w:ascii="CorpoS" w:hAnsi="CorpoS"/>
          <w:b/>
          <w:sz w:val="16"/>
          <w:szCs w:val="16"/>
          <w:lang w:val="de-DE"/>
        </w:rPr>
        <w:t xml:space="preserve"> =</w:t>
      </w:r>
      <w:r w:rsidRPr="0050297F">
        <w:rPr>
          <w:rFonts w:ascii="CorpoS" w:hAnsi="CorpoS"/>
          <w:b/>
          <w:sz w:val="22"/>
          <w:szCs w:val="22"/>
          <w:lang w:val="de-DE"/>
        </w:rPr>
        <w:t xml:space="preserve"> </w:t>
      </w:r>
      <w:r w:rsidRPr="0050297F">
        <w:rPr>
          <w:rFonts w:ascii="CorpoS" w:hAnsi="CorpoS"/>
          <w:b/>
          <w:sz w:val="16"/>
          <w:szCs w:val="16"/>
          <w:lang w:val="de-DE"/>
        </w:rPr>
        <w:t xml:space="preserve">Ergebnis vor Finanzergebnis und Steuern, </w:t>
      </w:r>
      <w:r w:rsidR="004F4B54">
        <w:rPr>
          <w:rFonts w:ascii="CorpoS" w:hAnsi="CorpoS"/>
          <w:b/>
          <w:sz w:val="16"/>
          <w:szCs w:val="16"/>
          <w:lang w:val="de-DE"/>
        </w:rPr>
        <w:t>bereinigt</w:t>
      </w:r>
    </w:p>
  </w:footnote>
  <w:footnote w:id="2">
    <w:p w:rsidR="00C51A14" w:rsidRPr="0050297F" w:rsidRDefault="00C51A14" w:rsidP="00C51A14">
      <w:pPr>
        <w:pStyle w:val="Funotentext"/>
        <w:rPr>
          <w:rFonts w:ascii="CorpoS" w:hAnsi="CorpoS"/>
          <w:b/>
          <w:sz w:val="16"/>
          <w:szCs w:val="16"/>
          <w:lang w:val="de-DE"/>
        </w:rPr>
      </w:pPr>
      <w:r>
        <w:rPr>
          <w:rStyle w:val="Funotenzeichen"/>
          <w:rFonts w:ascii="CorpoS" w:hAnsi="CorpoS"/>
          <w:b/>
          <w:sz w:val="16"/>
          <w:szCs w:val="16"/>
        </w:rPr>
        <w:footnoteRef/>
      </w:r>
      <w:r w:rsidRPr="0050297F">
        <w:rPr>
          <w:rFonts w:ascii="CorpoS" w:hAnsi="CorpoS"/>
          <w:b/>
          <w:sz w:val="16"/>
          <w:szCs w:val="16"/>
          <w:lang w:val="de-DE"/>
        </w:rPr>
        <w:t xml:space="preserve"> Net Income </w:t>
      </w:r>
      <w:proofErr w:type="spellStart"/>
      <w:r w:rsidRPr="0050297F">
        <w:rPr>
          <w:rFonts w:ascii="CorpoS" w:hAnsi="CorpoS"/>
          <w:b/>
          <w:sz w:val="16"/>
          <w:szCs w:val="16"/>
          <w:lang w:val="de-DE"/>
        </w:rPr>
        <w:t>adjusted</w:t>
      </w:r>
      <w:proofErr w:type="spellEnd"/>
      <w:r w:rsidRPr="0050297F">
        <w:rPr>
          <w:rFonts w:ascii="CorpoS" w:hAnsi="CorpoS"/>
          <w:b/>
          <w:sz w:val="16"/>
          <w:szCs w:val="16"/>
          <w:lang w:val="de-DE"/>
        </w:rPr>
        <w:t xml:space="preserve"> =</w:t>
      </w:r>
      <w:r w:rsidRPr="0050297F">
        <w:rPr>
          <w:rFonts w:ascii="CorpoS" w:hAnsi="CorpoS"/>
          <w:b/>
          <w:sz w:val="22"/>
          <w:szCs w:val="22"/>
          <w:lang w:val="de-DE"/>
        </w:rPr>
        <w:t xml:space="preserve"> </w:t>
      </w:r>
      <w:r w:rsidRPr="0050297F">
        <w:rPr>
          <w:rFonts w:ascii="CorpoS" w:hAnsi="CorpoS"/>
          <w:b/>
          <w:sz w:val="16"/>
          <w:szCs w:val="16"/>
          <w:lang w:val="de-DE"/>
        </w:rPr>
        <w:t xml:space="preserve">Ergebnis nach Ertragsteuern, </w:t>
      </w:r>
      <w:r w:rsidR="004F4B54">
        <w:rPr>
          <w:rFonts w:ascii="CorpoS" w:hAnsi="CorpoS"/>
          <w:b/>
          <w:sz w:val="16"/>
          <w:szCs w:val="16"/>
          <w:lang w:val="de-DE"/>
        </w:rPr>
        <w:t>bereinigt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Default="00694A29">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1616710" cy="789940"/>
          <wp:effectExtent l="0" t="0" r="2540" b="0"/>
          <wp:wrapNone/>
          <wp:docPr id="15"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6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Pr="00A775D8" w:rsidRDefault="00694A29" w:rsidP="00A775D8">
    <w:pPr>
      <w:pStyle w:val="Kopfzeile"/>
      <w:rPr>
        <w:sz w:val="2"/>
        <w:lang w:val="de-DE"/>
      </w:rPr>
    </w:pPr>
    <w:r>
      <w:rPr>
        <w:noProof/>
        <w:sz w:val="20"/>
        <w:lang w:val="de-DE"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1630680" cy="792480"/>
          <wp:effectExtent l="0" t="0" r="7620" b="762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E60" w:rsidRPr="00507889" w:rsidRDefault="00694A29" w:rsidP="00354BD1">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simplePos x="0" y="0"/>
              <wp:positionH relativeFrom="column">
                <wp:posOffset>2611120</wp:posOffset>
              </wp:positionH>
              <wp:positionV relativeFrom="paragraph">
                <wp:posOffset>178435</wp:posOffset>
              </wp:positionV>
              <wp:extent cx="3128645" cy="8166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E60" w:rsidRPr="00694A29" w:rsidRDefault="00051E60" w:rsidP="00B57AE5">
                          <w:pPr>
                            <w:tabs>
                              <w:tab w:val="right" w:pos="2268"/>
                            </w:tabs>
                            <w:rPr>
                              <w:rFonts w:ascii="CorpoSLig" w:hAnsi="CorpoSLig"/>
                              <w:b/>
                              <w:color w:val="FF0000"/>
                              <w:sz w:val="32"/>
                              <w:szCs w:val="32"/>
                            </w:rPr>
                          </w:pPr>
                          <w:r>
                            <w:rPr>
                              <w:rFonts w:ascii="CorpoSLig" w:hAnsi="CorpoSLig"/>
                              <w:b/>
                              <w:sz w:val="32"/>
                              <w:szCs w:val="32"/>
                            </w:rPr>
                            <w:tab/>
                          </w:r>
                          <w:r w:rsidRPr="00C51A14">
                            <w:rPr>
                              <w:rFonts w:ascii="CorpoSLig" w:hAnsi="CorpoSLig"/>
                              <w:b/>
                              <w:sz w:val="32"/>
                              <w:szCs w:val="32"/>
                            </w:rPr>
                            <w:t xml:space="preserve">                        </w:t>
                          </w:r>
                          <w:r w:rsidR="00694A29" w:rsidRPr="00C51A14">
                            <w:rPr>
                              <w:rFonts w:ascii="CorpoSLig" w:hAnsi="CorpoSLig"/>
                              <w:b/>
                              <w:sz w:val="32"/>
                              <w:szCs w:val="32"/>
                            </w:rPr>
                            <w:t>Quart</w:t>
                          </w:r>
                          <w:r w:rsidR="00C51A14" w:rsidRPr="00C51A14">
                            <w:rPr>
                              <w:rFonts w:ascii="CorpoSLig" w:hAnsi="CorpoSLig"/>
                              <w:b/>
                              <w:sz w:val="32"/>
                              <w:szCs w:val="32"/>
                            </w:rPr>
                            <w:t>erly Statement</w:t>
                          </w:r>
                        </w:p>
                        <w:p w:rsidR="00051E60" w:rsidRPr="00354BD1" w:rsidRDefault="00051E60"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5.6pt;margin-top:14.05pt;width:246.35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0t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" filled="f" stroked="f">
              <v:textbox inset="0,0,0,0">
                <w:txbxContent>
                  <w:p w:rsidR="00051E60" w:rsidRPr="00694A29" w:rsidRDefault="00051E60" w:rsidP="00B57AE5">
                    <w:pPr>
                      <w:tabs>
                        <w:tab w:val="right" w:pos="2268"/>
                      </w:tabs>
                      <w:rPr>
                        <w:rFonts w:ascii="CorpoSLig" w:hAnsi="CorpoSLig"/>
                        <w:b/>
                        <w:color w:val="FF0000"/>
                        <w:sz w:val="32"/>
                        <w:szCs w:val="32"/>
                      </w:rPr>
                    </w:pPr>
                    <w:r>
                      <w:rPr>
                        <w:rFonts w:ascii="CorpoSLig" w:hAnsi="CorpoSLig"/>
                        <w:b/>
                        <w:sz w:val="32"/>
                        <w:szCs w:val="32"/>
                      </w:rPr>
                      <w:tab/>
                    </w:r>
                    <w:r w:rsidRPr="00C51A14">
                      <w:rPr>
                        <w:rFonts w:ascii="CorpoSLig" w:hAnsi="CorpoSLig"/>
                        <w:b/>
                        <w:sz w:val="32"/>
                        <w:szCs w:val="32"/>
                      </w:rPr>
                      <w:t xml:space="preserve">                        </w:t>
                    </w:r>
                    <w:r w:rsidR="00694A29" w:rsidRPr="00C51A14">
                      <w:rPr>
                        <w:rFonts w:ascii="CorpoSLig" w:hAnsi="CorpoSLig"/>
                        <w:b/>
                        <w:sz w:val="32"/>
                        <w:szCs w:val="32"/>
                      </w:rPr>
                      <w:t>Quart</w:t>
                    </w:r>
                    <w:r w:rsidR="00C51A14" w:rsidRPr="00C51A14">
                      <w:rPr>
                        <w:rFonts w:ascii="CorpoSLig" w:hAnsi="CorpoSLig"/>
                        <w:b/>
                        <w:sz w:val="32"/>
                        <w:szCs w:val="32"/>
                      </w:rPr>
                      <w:t>erly Statement</w:t>
                    </w:r>
                  </w:p>
                  <w:p w:rsidR="00051E60" w:rsidRPr="00354BD1" w:rsidRDefault="00051E60"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rsidR="00051E60" w:rsidRPr="00507889" w:rsidRDefault="00051E60">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0B4182D"/>
    <w:multiLevelType w:val="hybridMultilevel"/>
    <w:tmpl w:val="607C0F80"/>
    <w:lvl w:ilvl="0" w:tplc="1B760454">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DC69FF"/>
    <w:multiLevelType w:val="hybridMultilevel"/>
    <w:tmpl w:val="384C1914"/>
    <w:lvl w:ilvl="0" w:tplc="930807E8">
      <w:start w:val="1"/>
      <w:numFmt w:val="bullet"/>
      <w:lvlText w:val=""/>
      <w:lvlJc w:val="left"/>
      <w:pPr>
        <w:tabs>
          <w:tab w:val="num" w:pos="340"/>
        </w:tabs>
        <w:ind w:left="340" w:hanging="340"/>
      </w:pPr>
      <w:rPr>
        <w:rFonts w:ascii="Symbol" w:hAnsi="Symbol" w:hint="default"/>
      </w:rPr>
    </w:lvl>
    <w:lvl w:ilvl="1" w:tplc="CD70FDAE" w:tentative="1">
      <w:start w:val="1"/>
      <w:numFmt w:val="bullet"/>
      <w:lvlText w:val="o"/>
      <w:lvlJc w:val="left"/>
      <w:pPr>
        <w:tabs>
          <w:tab w:val="num" w:pos="1440"/>
        </w:tabs>
        <w:ind w:left="1440" w:hanging="360"/>
      </w:pPr>
      <w:rPr>
        <w:rFonts w:ascii="Courier New" w:hAnsi="Courier New" w:cs="Courier New" w:hint="default"/>
      </w:rPr>
    </w:lvl>
    <w:lvl w:ilvl="2" w:tplc="AEAC68DE" w:tentative="1">
      <w:start w:val="1"/>
      <w:numFmt w:val="bullet"/>
      <w:lvlText w:val=""/>
      <w:lvlJc w:val="left"/>
      <w:pPr>
        <w:tabs>
          <w:tab w:val="num" w:pos="2160"/>
        </w:tabs>
        <w:ind w:left="2160" w:hanging="360"/>
      </w:pPr>
      <w:rPr>
        <w:rFonts w:ascii="Wingdings" w:hAnsi="Wingdings" w:hint="default"/>
      </w:rPr>
    </w:lvl>
    <w:lvl w:ilvl="3" w:tplc="729086A2" w:tentative="1">
      <w:start w:val="1"/>
      <w:numFmt w:val="bullet"/>
      <w:lvlText w:val=""/>
      <w:lvlJc w:val="left"/>
      <w:pPr>
        <w:tabs>
          <w:tab w:val="num" w:pos="2880"/>
        </w:tabs>
        <w:ind w:left="2880" w:hanging="360"/>
      </w:pPr>
      <w:rPr>
        <w:rFonts w:ascii="Symbol" w:hAnsi="Symbol" w:hint="default"/>
      </w:rPr>
    </w:lvl>
    <w:lvl w:ilvl="4" w:tplc="7B445D42" w:tentative="1">
      <w:start w:val="1"/>
      <w:numFmt w:val="bullet"/>
      <w:lvlText w:val="o"/>
      <w:lvlJc w:val="left"/>
      <w:pPr>
        <w:tabs>
          <w:tab w:val="num" w:pos="3600"/>
        </w:tabs>
        <w:ind w:left="3600" w:hanging="360"/>
      </w:pPr>
      <w:rPr>
        <w:rFonts w:ascii="Courier New" w:hAnsi="Courier New" w:cs="Courier New" w:hint="default"/>
      </w:rPr>
    </w:lvl>
    <w:lvl w:ilvl="5" w:tplc="28047316" w:tentative="1">
      <w:start w:val="1"/>
      <w:numFmt w:val="bullet"/>
      <w:lvlText w:val=""/>
      <w:lvlJc w:val="left"/>
      <w:pPr>
        <w:tabs>
          <w:tab w:val="num" w:pos="4320"/>
        </w:tabs>
        <w:ind w:left="4320" w:hanging="360"/>
      </w:pPr>
      <w:rPr>
        <w:rFonts w:ascii="Wingdings" w:hAnsi="Wingdings" w:hint="default"/>
      </w:rPr>
    </w:lvl>
    <w:lvl w:ilvl="6" w:tplc="7DB4E6E0" w:tentative="1">
      <w:start w:val="1"/>
      <w:numFmt w:val="bullet"/>
      <w:lvlText w:val=""/>
      <w:lvlJc w:val="left"/>
      <w:pPr>
        <w:tabs>
          <w:tab w:val="num" w:pos="5040"/>
        </w:tabs>
        <w:ind w:left="5040" w:hanging="360"/>
      </w:pPr>
      <w:rPr>
        <w:rFonts w:ascii="Symbol" w:hAnsi="Symbol" w:hint="default"/>
      </w:rPr>
    </w:lvl>
    <w:lvl w:ilvl="7" w:tplc="D1E8662A" w:tentative="1">
      <w:start w:val="1"/>
      <w:numFmt w:val="bullet"/>
      <w:lvlText w:val="o"/>
      <w:lvlJc w:val="left"/>
      <w:pPr>
        <w:tabs>
          <w:tab w:val="num" w:pos="5760"/>
        </w:tabs>
        <w:ind w:left="5760" w:hanging="360"/>
      </w:pPr>
      <w:rPr>
        <w:rFonts w:ascii="Courier New" w:hAnsi="Courier New" w:cs="Courier New" w:hint="default"/>
      </w:rPr>
    </w:lvl>
    <w:lvl w:ilvl="8" w:tplc="EC0E840E" w:tentative="1">
      <w:start w:val="1"/>
      <w:numFmt w:val="bullet"/>
      <w:lvlText w:val=""/>
      <w:lvlJc w:val="left"/>
      <w:pPr>
        <w:tabs>
          <w:tab w:val="num" w:pos="6480"/>
        </w:tabs>
        <w:ind w:left="6480" w:hanging="360"/>
      </w:pPr>
      <w:rPr>
        <w:rFonts w:ascii="Wingdings" w:hAnsi="Wingdings" w:hint="default"/>
      </w:rPr>
    </w:lvl>
  </w:abstractNum>
  <w:abstractNum w:abstractNumId="6">
    <w:nsid w:val="545917F5"/>
    <w:multiLevelType w:val="hybridMultilevel"/>
    <w:tmpl w:val="A4640272"/>
    <w:lvl w:ilvl="0" w:tplc="288E40C2">
      <w:start w:val="1"/>
      <w:numFmt w:val="bullet"/>
      <w:lvlText w:val=""/>
      <w:lvlJc w:val="left"/>
      <w:pPr>
        <w:tabs>
          <w:tab w:val="num" w:pos="340"/>
        </w:tabs>
        <w:ind w:left="340" w:hanging="34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67A904DE"/>
    <w:multiLevelType w:val="hybridMultilevel"/>
    <w:tmpl w:val="92FA2E5A"/>
    <w:lvl w:ilvl="0" w:tplc="42F40860">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4344AAC"/>
    <w:multiLevelType w:val="hybridMultilevel"/>
    <w:tmpl w:val="2694783E"/>
    <w:lvl w:ilvl="0" w:tplc="EF54159A">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A04611"/>
    <w:multiLevelType w:val="hybridMultilevel"/>
    <w:tmpl w:val="73B2097C"/>
    <w:lvl w:ilvl="0" w:tplc="7FF8D880">
      <w:start w:val="1"/>
      <w:numFmt w:val="bullet"/>
      <w:lvlText w:val=""/>
      <w:lvlJc w:val="left"/>
      <w:pPr>
        <w:tabs>
          <w:tab w:val="num" w:pos="720"/>
        </w:tabs>
        <w:ind w:left="720" w:hanging="360"/>
      </w:pPr>
      <w:rPr>
        <w:rFonts w:ascii="Symbol" w:hAnsi="Symbol" w:hint="default"/>
      </w:rPr>
    </w:lvl>
    <w:lvl w:ilvl="1" w:tplc="5F66210C" w:tentative="1">
      <w:start w:val="1"/>
      <w:numFmt w:val="bullet"/>
      <w:lvlText w:val="o"/>
      <w:lvlJc w:val="left"/>
      <w:pPr>
        <w:tabs>
          <w:tab w:val="num" w:pos="1440"/>
        </w:tabs>
        <w:ind w:left="1440" w:hanging="360"/>
      </w:pPr>
      <w:rPr>
        <w:rFonts w:ascii="Courier New" w:hAnsi="Courier New" w:cs="Courier New" w:hint="default"/>
      </w:rPr>
    </w:lvl>
    <w:lvl w:ilvl="2" w:tplc="16D445F6" w:tentative="1">
      <w:start w:val="1"/>
      <w:numFmt w:val="bullet"/>
      <w:lvlText w:val=""/>
      <w:lvlJc w:val="left"/>
      <w:pPr>
        <w:tabs>
          <w:tab w:val="num" w:pos="2160"/>
        </w:tabs>
        <w:ind w:left="2160" w:hanging="360"/>
      </w:pPr>
      <w:rPr>
        <w:rFonts w:ascii="Wingdings" w:hAnsi="Wingdings" w:hint="default"/>
      </w:rPr>
    </w:lvl>
    <w:lvl w:ilvl="3" w:tplc="4F364E4E" w:tentative="1">
      <w:start w:val="1"/>
      <w:numFmt w:val="bullet"/>
      <w:lvlText w:val=""/>
      <w:lvlJc w:val="left"/>
      <w:pPr>
        <w:tabs>
          <w:tab w:val="num" w:pos="2880"/>
        </w:tabs>
        <w:ind w:left="2880" w:hanging="360"/>
      </w:pPr>
      <w:rPr>
        <w:rFonts w:ascii="Symbol" w:hAnsi="Symbol" w:hint="default"/>
      </w:rPr>
    </w:lvl>
    <w:lvl w:ilvl="4" w:tplc="7B8079FE" w:tentative="1">
      <w:start w:val="1"/>
      <w:numFmt w:val="bullet"/>
      <w:lvlText w:val="o"/>
      <w:lvlJc w:val="left"/>
      <w:pPr>
        <w:tabs>
          <w:tab w:val="num" w:pos="3600"/>
        </w:tabs>
        <w:ind w:left="3600" w:hanging="360"/>
      </w:pPr>
      <w:rPr>
        <w:rFonts w:ascii="Courier New" w:hAnsi="Courier New" w:cs="Courier New" w:hint="default"/>
      </w:rPr>
    </w:lvl>
    <w:lvl w:ilvl="5" w:tplc="71183C76" w:tentative="1">
      <w:start w:val="1"/>
      <w:numFmt w:val="bullet"/>
      <w:lvlText w:val=""/>
      <w:lvlJc w:val="left"/>
      <w:pPr>
        <w:tabs>
          <w:tab w:val="num" w:pos="4320"/>
        </w:tabs>
        <w:ind w:left="4320" w:hanging="360"/>
      </w:pPr>
      <w:rPr>
        <w:rFonts w:ascii="Wingdings" w:hAnsi="Wingdings" w:hint="default"/>
      </w:rPr>
    </w:lvl>
    <w:lvl w:ilvl="6" w:tplc="F3B613B8" w:tentative="1">
      <w:start w:val="1"/>
      <w:numFmt w:val="bullet"/>
      <w:lvlText w:val=""/>
      <w:lvlJc w:val="left"/>
      <w:pPr>
        <w:tabs>
          <w:tab w:val="num" w:pos="5040"/>
        </w:tabs>
        <w:ind w:left="5040" w:hanging="360"/>
      </w:pPr>
      <w:rPr>
        <w:rFonts w:ascii="Symbol" w:hAnsi="Symbol" w:hint="default"/>
      </w:rPr>
    </w:lvl>
    <w:lvl w:ilvl="7" w:tplc="E9666A58" w:tentative="1">
      <w:start w:val="1"/>
      <w:numFmt w:val="bullet"/>
      <w:lvlText w:val="o"/>
      <w:lvlJc w:val="left"/>
      <w:pPr>
        <w:tabs>
          <w:tab w:val="num" w:pos="5760"/>
        </w:tabs>
        <w:ind w:left="5760" w:hanging="360"/>
      </w:pPr>
      <w:rPr>
        <w:rFonts w:ascii="Courier New" w:hAnsi="Courier New" w:cs="Courier New" w:hint="default"/>
      </w:rPr>
    </w:lvl>
    <w:lvl w:ilvl="8" w:tplc="268C116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46"/>
    <w:rsid w:val="00001A69"/>
    <w:rsid w:val="0000543C"/>
    <w:rsid w:val="00007718"/>
    <w:rsid w:val="00010145"/>
    <w:rsid w:val="00010BAE"/>
    <w:rsid w:val="0001206F"/>
    <w:rsid w:val="00014216"/>
    <w:rsid w:val="00014295"/>
    <w:rsid w:val="0001625B"/>
    <w:rsid w:val="000165E8"/>
    <w:rsid w:val="00017987"/>
    <w:rsid w:val="0002022E"/>
    <w:rsid w:val="00020CA2"/>
    <w:rsid w:val="00034C1E"/>
    <w:rsid w:val="0004012A"/>
    <w:rsid w:val="00042608"/>
    <w:rsid w:val="00045694"/>
    <w:rsid w:val="000468B9"/>
    <w:rsid w:val="00046D7A"/>
    <w:rsid w:val="00050992"/>
    <w:rsid w:val="00051E60"/>
    <w:rsid w:val="000523D3"/>
    <w:rsid w:val="00053AE0"/>
    <w:rsid w:val="00053D85"/>
    <w:rsid w:val="00065075"/>
    <w:rsid w:val="0006552A"/>
    <w:rsid w:val="000706B8"/>
    <w:rsid w:val="00072045"/>
    <w:rsid w:val="00073BEA"/>
    <w:rsid w:val="00074142"/>
    <w:rsid w:val="00074F55"/>
    <w:rsid w:val="0007603C"/>
    <w:rsid w:val="00084883"/>
    <w:rsid w:val="000860C0"/>
    <w:rsid w:val="000939E0"/>
    <w:rsid w:val="00094DD7"/>
    <w:rsid w:val="00095C96"/>
    <w:rsid w:val="00096329"/>
    <w:rsid w:val="000A1616"/>
    <w:rsid w:val="000A22E2"/>
    <w:rsid w:val="000A4FBA"/>
    <w:rsid w:val="000A6390"/>
    <w:rsid w:val="000A65E0"/>
    <w:rsid w:val="000B2DE3"/>
    <w:rsid w:val="000B67F6"/>
    <w:rsid w:val="000C09A7"/>
    <w:rsid w:val="000C1A76"/>
    <w:rsid w:val="000C7B00"/>
    <w:rsid w:val="000D0091"/>
    <w:rsid w:val="000D2837"/>
    <w:rsid w:val="000D30B4"/>
    <w:rsid w:val="000D472F"/>
    <w:rsid w:val="000E1C17"/>
    <w:rsid w:val="000E2E12"/>
    <w:rsid w:val="000E5C57"/>
    <w:rsid w:val="000E76D2"/>
    <w:rsid w:val="000E7E81"/>
    <w:rsid w:val="000F005C"/>
    <w:rsid w:val="000F0BAD"/>
    <w:rsid w:val="000F1C43"/>
    <w:rsid w:val="000F2FF0"/>
    <w:rsid w:val="000F74AB"/>
    <w:rsid w:val="0010004F"/>
    <w:rsid w:val="00100FBE"/>
    <w:rsid w:val="00101DCF"/>
    <w:rsid w:val="001020B6"/>
    <w:rsid w:val="001060D0"/>
    <w:rsid w:val="00107445"/>
    <w:rsid w:val="00107A5E"/>
    <w:rsid w:val="00112591"/>
    <w:rsid w:val="00113459"/>
    <w:rsid w:val="00113504"/>
    <w:rsid w:val="00113984"/>
    <w:rsid w:val="00115186"/>
    <w:rsid w:val="0011730A"/>
    <w:rsid w:val="00117AFF"/>
    <w:rsid w:val="001235C4"/>
    <w:rsid w:val="00126B24"/>
    <w:rsid w:val="00132F2F"/>
    <w:rsid w:val="00141BAC"/>
    <w:rsid w:val="00143677"/>
    <w:rsid w:val="00144D88"/>
    <w:rsid w:val="0014737E"/>
    <w:rsid w:val="00150467"/>
    <w:rsid w:val="00151E2A"/>
    <w:rsid w:val="00160513"/>
    <w:rsid w:val="00161E32"/>
    <w:rsid w:val="001622D3"/>
    <w:rsid w:val="00163004"/>
    <w:rsid w:val="00170367"/>
    <w:rsid w:val="00172C9C"/>
    <w:rsid w:val="00181D71"/>
    <w:rsid w:val="0018428A"/>
    <w:rsid w:val="00185F1D"/>
    <w:rsid w:val="00191C2E"/>
    <w:rsid w:val="00197CF5"/>
    <w:rsid w:val="001A47CB"/>
    <w:rsid w:val="001B1AE3"/>
    <w:rsid w:val="001B434D"/>
    <w:rsid w:val="001C403E"/>
    <w:rsid w:val="001C53D3"/>
    <w:rsid w:val="001C5559"/>
    <w:rsid w:val="001C5F28"/>
    <w:rsid w:val="001C651B"/>
    <w:rsid w:val="001D1846"/>
    <w:rsid w:val="001D4082"/>
    <w:rsid w:val="001D4D29"/>
    <w:rsid w:val="001D5D33"/>
    <w:rsid w:val="001E0F56"/>
    <w:rsid w:val="001E5591"/>
    <w:rsid w:val="001E56B3"/>
    <w:rsid w:val="001E5784"/>
    <w:rsid w:val="001E71BD"/>
    <w:rsid w:val="001F4294"/>
    <w:rsid w:val="002037D9"/>
    <w:rsid w:val="0021191F"/>
    <w:rsid w:val="0021633B"/>
    <w:rsid w:val="00222DEF"/>
    <w:rsid w:val="0022336E"/>
    <w:rsid w:val="00226271"/>
    <w:rsid w:val="002335C6"/>
    <w:rsid w:val="00236E3A"/>
    <w:rsid w:val="00237253"/>
    <w:rsid w:val="002437FE"/>
    <w:rsid w:val="002451C6"/>
    <w:rsid w:val="00245B50"/>
    <w:rsid w:val="00252060"/>
    <w:rsid w:val="002520D2"/>
    <w:rsid w:val="002534DF"/>
    <w:rsid w:val="00254406"/>
    <w:rsid w:val="00254EE7"/>
    <w:rsid w:val="00256BAD"/>
    <w:rsid w:val="00261A60"/>
    <w:rsid w:val="00263593"/>
    <w:rsid w:val="002654C2"/>
    <w:rsid w:val="00270DD3"/>
    <w:rsid w:val="00275485"/>
    <w:rsid w:val="00280197"/>
    <w:rsid w:val="00281AA0"/>
    <w:rsid w:val="00290B6D"/>
    <w:rsid w:val="00291085"/>
    <w:rsid w:val="0029213E"/>
    <w:rsid w:val="00296646"/>
    <w:rsid w:val="002966FA"/>
    <w:rsid w:val="002A006A"/>
    <w:rsid w:val="002A3DF2"/>
    <w:rsid w:val="002A4079"/>
    <w:rsid w:val="002A57D3"/>
    <w:rsid w:val="002A63C8"/>
    <w:rsid w:val="002B6B5C"/>
    <w:rsid w:val="002B7FD7"/>
    <w:rsid w:val="002C1173"/>
    <w:rsid w:val="002C187E"/>
    <w:rsid w:val="002C2460"/>
    <w:rsid w:val="002C2796"/>
    <w:rsid w:val="002C288B"/>
    <w:rsid w:val="002C3218"/>
    <w:rsid w:val="002C3897"/>
    <w:rsid w:val="002C6BB7"/>
    <w:rsid w:val="002D758E"/>
    <w:rsid w:val="002E028E"/>
    <w:rsid w:val="002E2DB5"/>
    <w:rsid w:val="002E3646"/>
    <w:rsid w:val="002E648F"/>
    <w:rsid w:val="002F4C0A"/>
    <w:rsid w:val="002F76AF"/>
    <w:rsid w:val="00300A57"/>
    <w:rsid w:val="003018DF"/>
    <w:rsid w:val="00305E13"/>
    <w:rsid w:val="00310230"/>
    <w:rsid w:val="00310E95"/>
    <w:rsid w:val="00311CAE"/>
    <w:rsid w:val="00316554"/>
    <w:rsid w:val="003166DB"/>
    <w:rsid w:val="00317423"/>
    <w:rsid w:val="00322F67"/>
    <w:rsid w:val="00324FB1"/>
    <w:rsid w:val="00325951"/>
    <w:rsid w:val="003306E0"/>
    <w:rsid w:val="003329A3"/>
    <w:rsid w:val="00332B8F"/>
    <w:rsid w:val="003423A0"/>
    <w:rsid w:val="00342A55"/>
    <w:rsid w:val="00343C99"/>
    <w:rsid w:val="00343DB0"/>
    <w:rsid w:val="00344B08"/>
    <w:rsid w:val="003465D9"/>
    <w:rsid w:val="0035075B"/>
    <w:rsid w:val="00351FB9"/>
    <w:rsid w:val="0035315A"/>
    <w:rsid w:val="003536F8"/>
    <w:rsid w:val="00354A2A"/>
    <w:rsid w:val="00354BD1"/>
    <w:rsid w:val="003577B9"/>
    <w:rsid w:val="0036092F"/>
    <w:rsid w:val="00364C74"/>
    <w:rsid w:val="00371A46"/>
    <w:rsid w:val="00372AD7"/>
    <w:rsid w:val="00377B6C"/>
    <w:rsid w:val="0038142E"/>
    <w:rsid w:val="003839FD"/>
    <w:rsid w:val="0038603B"/>
    <w:rsid w:val="003875F7"/>
    <w:rsid w:val="00390A09"/>
    <w:rsid w:val="00392F50"/>
    <w:rsid w:val="003A0927"/>
    <w:rsid w:val="003A1E07"/>
    <w:rsid w:val="003A20E2"/>
    <w:rsid w:val="003A2477"/>
    <w:rsid w:val="003A2718"/>
    <w:rsid w:val="003A5EDA"/>
    <w:rsid w:val="003A74C1"/>
    <w:rsid w:val="003A74F5"/>
    <w:rsid w:val="003B2216"/>
    <w:rsid w:val="003B2492"/>
    <w:rsid w:val="003B6AB4"/>
    <w:rsid w:val="003B6BFB"/>
    <w:rsid w:val="003C1344"/>
    <w:rsid w:val="003C3486"/>
    <w:rsid w:val="003C4FFB"/>
    <w:rsid w:val="003D1233"/>
    <w:rsid w:val="003D274C"/>
    <w:rsid w:val="003E2208"/>
    <w:rsid w:val="003E220C"/>
    <w:rsid w:val="003E23F9"/>
    <w:rsid w:val="003E4C71"/>
    <w:rsid w:val="003E7697"/>
    <w:rsid w:val="003F0EC8"/>
    <w:rsid w:val="003F3C37"/>
    <w:rsid w:val="004044E9"/>
    <w:rsid w:val="00405869"/>
    <w:rsid w:val="00410940"/>
    <w:rsid w:val="00415D3F"/>
    <w:rsid w:val="00416CE4"/>
    <w:rsid w:val="004203A5"/>
    <w:rsid w:val="00421D92"/>
    <w:rsid w:val="00422193"/>
    <w:rsid w:val="004232FE"/>
    <w:rsid w:val="00433A66"/>
    <w:rsid w:val="004429B1"/>
    <w:rsid w:val="00444D67"/>
    <w:rsid w:val="004470D8"/>
    <w:rsid w:val="004607AE"/>
    <w:rsid w:val="00462E55"/>
    <w:rsid w:val="0046413D"/>
    <w:rsid w:val="00466DC0"/>
    <w:rsid w:val="00475E50"/>
    <w:rsid w:val="00476248"/>
    <w:rsid w:val="00481764"/>
    <w:rsid w:val="0048499B"/>
    <w:rsid w:val="00490BB2"/>
    <w:rsid w:val="00490C18"/>
    <w:rsid w:val="00494B76"/>
    <w:rsid w:val="004966DC"/>
    <w:rsid w:val="00497A32"/>
    <w:rsid w:val="004A092E"/>
    <w:rsid w:val="004B496B"/>
    <w:rsid w:val="004B5C4C"/>
    <w:rsid w:val="004B5EFE"/>
    <w:rsid w:val="004B7E67"/>
    <w:rsid w:val="004C0AA1"/>
    <w:rsid w:val="004C372A"/>
    <w:rsid w:val="004C4759"/>
    <w:rsid w:val="004C594B"/>
    <w:rsid w:val="004C5E01"/>
    <w:rsid w:val="004D5603"/>
    <w:rsid w:val="004E0F1F"/>
    <w:rsid w:val="004E118D"/>
    <w:rsid w:val="004E5F27"/>
    <w:rsid w:val="004F201A"/>
    <w:rsid w:val="004F4B54"/>
    <w:rsid w:val="004F5EC6"/>
    <w:rsid w:val="004F7CF8"/>
    <w:rsid w:val="00501E37"/>
    <w:rsid w:val="00507889"/>
    <w:rsid w:val="005106C2"/>
    <w:rsid w:val="00511729"/>
    <w:rsid w:val="00513ADD"/>
    <w:rsid w:val="005159F9"/>
    <w:rsid w:val="005200F5"/>
    <w:rsid w:val="00526D8D"/>
    <w:rsid w:val="00532315"/>
    <w:rsid w:val="0054129D"/>
    <w:rsid w:val="005427EA"/>
    <w:rsid w:val="0054532F"/>
    <w:rsid w:val="005555C2"/>
    <w:rsid w:val="00556F66"/>
    <w:rsid w:val="0056031D"/>
    <w:rsid w:val="00560D20"/>
    <w:rsid w:val="005660B5"/>
    <w:rsid w:val="00567B1D"/>
    <w:rsid w:val="00572802"/>
    <w:rsid w:val="00576097"/>
    <w:rsid w:val="0058165A"/>
    <w:rsid w:val="00583F6B"/>
    <w:rsid w:val="00584264"/>
    <w:rsid w:val="00584F4F"/>
    <w:rsid w:val="00584FA3"/>
    <w:rsid w:val="00591762"/>
    <w:rsid w:val="005934BB"/>
    <w:rsid w:val="005A006F"/>
    <w:rsid w:val="005A1451"/>
    <w:rsid w:val="005A280D"/>
    <w:rsid w:val="005A4152"/>
    <w:rsid w:val="005A75B7"/>
    <w:rsid w:val="005B1253"/>
    <w:rsid w:val="005B4229"/>
    <w:rsid w:val="005B4F69"/>
    <w:rsid w:val="005B5E19"/>
    <w:rsid w:val="005B7771"/>
    <w:rsid w:val="005C6A8C"/>
    <w:rsid w:val="005D737B"/>
    <w:rsid w:val="005E1D59"/>
    <w:rsid w:val="005E2F6D"/>
    <w:rsid w:val="005E64C5"/>
    <w:rsid w:val="005F0CA7"/>
    <w:rsid w:val="005F55C7"/>
    <w:rsid w:val="005F6B07"/>
    <w:rsid w:val="00601381"/>
    <w:rsid w:val="0060201F"/>
    <w:rsid w:val="00602DEE"/>
    <w:rsid w:val="00603DF3"/>
    <w:rsid w:val="00607764"/>
    <w:rsid w:val="006140A4"/>
    <w:rsid w:val="00614A3F"/>
    <w:rsid w:val="006156F6"/>
    <w:rsid w:val="00616F28"/>
    <w:rsid w:val="0062287C"/>
    <w:rsid w:val="00636522"/>
    <w:rsid w:val="006379B7"/>
    <w:rsid w:val="00640206"/>
    <w:rsid w:val="00645AA4"/>
    <w:rsid w:val="006466E5"/>
    <w:rsid w:val="0065120E"/>
    <w:rsid w:val="0065197B"/>
    <w:rsid w:val="0065327F"/>
    <w:rsid w:val="00667C33"/>
    <w:rsid w:val="0067551C"/>
    <w:rsid w:val="00681B62"/>
    <w:rsid w:val="00682B38"/>
    <w:rsid w:val="0068586D"/>
    <w:rsid w:val="006906EB"/>
    <w:rsid w:val="00692934"/>
    <w:rsid w:val="00692AEF"/>
    <w:rsid w:val="0069361B"/>
    <w:rsid w:val="00694A29"/>
    <w:rsid w:val="00695DED"/>
    <w:rsid w:val="006A16CD"/>
    <w:rsid w:val="006A30A9"/>
    <w:rsid w:val="006A71EF"/>
    <w:rsid w:val="006B0CBE"/>
    <w:rsid w:val="006B1097"/>
    <w:rsid w:val="006B37D9"/>
    <w:rsid w:val="006B61E1"/>
    <w:rsid w:val="006D1C26"/>
    <w:rsid w:val="006D6B21"/>
    <w:rsid w:val="006E141E"/>
    <w:rsid w:val="006E1D8B"/>
    <w:rsid w:val="006E23D5"/>
    <w:rsid w:val="006E6D73"/>
    <w:rsid w:val="006F76F1"/>
    <w:rsid w:val="00701727"/>
    <w:rsid w:val="0070220C"/>
    <w:rsid w:val="0070360F"/>
    <w:rsid w:val="00706897"/>
    <w:rsid w:val="007068CC"/>
    <w:rsid w:val="00712F46"/>
    <w:rsid w:val="00714F82"/>
    <w:rsid w:val="007174B3"/>
    <w:rsid w:val="007213D0"/>
    <w:rsid w:val="0072741F"/>
    <w:rsid w:val="00727D93"/>
    <w:rsid w:val="00733915"/>
    <w:rsid w:val="00742443"/>
    <w:rsid w:val="00742FCE"/>
    <w:rsid w:val="007527E9"/>
    <w:rsid w:val="00755EB4"/>
    <w:rsid w:val="007575AF"/>
    <w:rsid w:val="00757670"/>
    <w:rsid w:val="00760EE0"/>
    <w:rsid w:val="00761A2B"/>
    <w:rsid w:val="0076577A"/>
    <w:rsid w:val="00766743"/>
    <w:rsid w:val="007719C7"/>
    <w:rsid w:val="00772834"/>
    <w:rsid w:val="007730A7"/>
    <w:rsid w:val="0077756B"/>
    <w:rsid w:val="007801BC"/>
    <w:rsid w:val="00783811"/>
    <w:rsid w:val="0078769A"/>
    <w:rsid w:val="007902FC"/>
    <w:rsid w:val="0079113C"/>
    <w:rsid w:val="0079305F"/>
    <w:rsid w:val="00795E58"/>
    <w:rsid w:val="007A0340"/>
    <w:rsid w:val="007A0798"/>
    <w:rsid w:val="007A3449"/>
    <w:rsid w:val="007A63C5"/>
    <w:rsid w:val="007A7E57"/>
    <w:rsid w:val="007B1097"/>
    <w:rsid w:val="007B1A7A"/>
    <w:rsid w:val="007B301A"/>
    <w:rsid w:val="007B30DE"/>
    <w:rsid w:val="007B36B4"/>
    <w:rsid w:val="007B657F"/>
    <w:rsid w:val="007C0D1C"/>
    <w:rsid w:val="007C5879"/>
    <w:rsid w:val="007C68D3"/>
    <w:rsid w:val="007D020C"/>
    <w:rsid w:val="007D3740"/>
    <w:rsid w:val="007D4FCF"/>
    <w:rsid w:val="007D5ABB"/>
    <w:rsid w:val="007E7CA5"/>
    <w:rsid w:val="007F194B"/>
    <w:rsid w:val="007F3FA3"/>
    <w:rsid w:val="007F43F8"/>
    <w:rsid w:val="007F5DED"/>
    <w:rsid w:val="00804AFD"/>
    <w:rsid w:val="008064CE"/>
    <w:rsid w:val="00806654"/>
    <w:rsid w:val="00812E8C"/>
    <w:rsid w:val="008163EE"/>
    <w:rsid w:val="008168F1"/>
    <w:rsid w:val="00816A3A"/>
    <w:rsid w:val="00817CEE"/>
    <w:rsid w:val="00821A96"/>
    <w:rsid w:val="00826963"/>
    <w:rsid w:val="00826A11"/>
    <w:rsid w:val="008271DD"/>
    <w:rsid w:val="00831FA3"/>
    <w:rsid w:val="00833404"/>
    <w:rsid w:val="00837CB6"/>
    <w:rsid w:val="00840ED4"/>
    <w:rsid w:val="00841802"/>
    <w:rsid w:val="008418A3"/>
    <w:rsid w:val="0084218C"/>
    <w:rsid w:val="00846648"/>
    <w:rsid w:val="00851896"/>
    <w:rsid w:val="00853255"/>
    <w:rsid w:val="0085541A"/>
    <w:rsid w:val="0086110A"/>
    <w:rsid w:val="008612D6"/>
    <w:rsid w:val="00872C46"/>
    <w:rsid w:val="00884707"/>
    <w:rsid w:val="008879C4"/>
    <w:rsid w:val="00890BCF"/>
    <w:rsid w:val="008944CD"/>
    <w:rsid w:val="008A1E29"/>
    <w:rsid w:val="008A5EAE"/>
    <w:rsid w:val="008A6D05"/>
    <w:rsid w:val="008B2068"/>
    <w:rsid w:val="008B70A2"/>
    <w:rsid w:val="008C2911"/>
    <w:rsid w:val="008C3580"/>
    <w:rsid w:val="008C7FB8"/>
    <w:rsid w:val="008D3F07"/>
    <w:rsid w:val="008D5F6B"/>
    <w:rsid w:val="008D7CDD"/>
    <w:rsid w:val="008E3B41"/>
    <w:rsid w:val="008F0DAC"/>
    <w:rsid w:val="008F7EB9"/>
    <w:rsid w:val="00907BC3"/>
    <w:rsid w:val="0091495A"/>
    <w:rsid w:val="00914C01"/>
    <w:rsid w:val="009153DB"/>
    <w:rsid w:val="00917918"/>
    <w:rsid w:val="0092266A"/>
    <w:rsid w:val="00923D30"/>
    <w:rsid w:val="0092750A"/>
    <w:rsid w:val="00932903"/>
    <w:rsid w:val="0093526E"/>
    <w:rsid w:val="00937D4C"/>
    <w:rsid w:val="00942722"/>
    <w:rsid w:val="00945147"/>
    <w:rsid w:val="009451BC"/>
    <w:rsid w:val="00947620"/>
    <w:rsid w:val="00947BA9"/>
    <w:rsid w:val="00950960"/>
    <w:rsid w:val="009510EF"/>
    <w:rsid w:val="00955146"/>
    <w:rsid w:val="00956671"/>
    <w:rsid w:val="0096124D"/>
    <w:rsid w:val="00962C3D"/>
    <w:rsid w:val="00963D45"/>
    <w:rsid w:val="00966D07"/>
    <w:rsid w:val="00970F2A"/>
    <w:rsid w:val="00971E42"/>
    <w:rsid w:val="00974D59"/>
    <w:rsid w:val="00977B12"/>
    <w:rsid w:val="00977BA5"/>
    <w:rsid w:val="00977BC9"/>
    <w:rsid w:val="00982B92"/>
    <w:rsid w:val="00984BD9"/>
    <w:rsid w:val="00990DAF"/>
    <w:rsid w:val="00991CFF"/>
    <w:rsid w:val="00992B29"/>
    <w:rsid w:val="00992CD8"/>
    <w:rsid w:val="009959F2"/>
    <w:rsid w:val="0099749E"/>
    <w:rsid w:val="00997AC3"/>
    <w:rsid w:val="009A2E36"/>
    <w:rsid w:val="009B0DD6"/>
    <w:rsid w:val="009B110E"/>
    <w:rsid w:val="009B22E6"/>
    <w:rsid w:val="009B248F"/>
    <w:rsid w:val="009B4DFE"/>
    <w:rsid w:val="009B72F3"/>
    <w:rsid w:val="009C049E"/>
    <w:rsid w:val="009C19B6"/>
    <w:rsid w:val="009D2AF7"/>
    <w:rsid w:val="009D35D0"/>
    <w:rsid w:val="009E0A17"/>
    <w:rsid w:val="009E2D48"/>
    <w:rsid w:val="009E49E6"/>
    <w:rsid w:val="009E566C"/>
    <w:rsid w:val="009E62BA"/>
    <w:rsid w:val="00A0180E"/>
    <w:rsid w:val="00A03882"/>
    <w:rsid w:val="00A0666F"/>
    <w:rsid w:val="00A06B1D"/>
    <w:rsid w:val="00A159D4"/>
    <w:rsid w:val="00A169FE"/>
    <w:rsid w:val="00A2077D"/>
    <w:rsid w:val="00A22432"/>
    <w:rsid w:val="00A26DAC"/>
    <w:rsid w:val="00A35C99"/>
    <w:rsid w:val="00A40FB0"/>
    <w:rsid w:val="00A43C45"/>
    <w:rsid w:val="00A449B8"/>
    <w:rsid w:val="00A4513B"/>
    <w:rsid w:val="00A45255"/>
    <w:rsid w:val="00A5066E"/>
    <w:rsid w:val="00A52FED"/>
    <w:rsid w:val="00A54C34"/>
    <w:rsid w:val="00A55138"/>
    <w:rsid w:val="00A6393A"/>
    <w:rsid w:val="00A64FB8"/>
    <w:rsid w:val="00A65E3C"/>
    <w:rsid w:val="00A66252"/>
    <w:rsid w:val="00A73E32"/>
    <w:rsid w:val="00A749A4"/>
    <w:rsid w:val="00A775D8"/>
    <w:rsid w:val="00A8770E"/>
    <w:rsid w:val="00A93031"/>
    <w:rsid w:val="00A93F50"/>
    <w:rsid w:val="00A9467A"/>
    <w:rsid w:val="00A9636B"/>
    <w:rsid w:val="00AA0062"/>
    <w:rsid w:val="00AB0181"/>
    <w:rsid w:val="00AB038B"/>
    <w:rsid w:val="00AB1CAB"/>
    <w:rsid w:val="00AB550C"/>
    <w:rsid w:val="00AB560A"/>
    <w:rsid w:val="00AB6495"/>
    <w:rsid w:val="00AB6E49"/>
    <w:rsid w:val="00AB7725"/>
    <w:rsid w:val="00AC3141"/>
    <w:rsid w:val="00AC3F4E"/>
    <w:rsid w:val="00AC58BD"/>
    <w:rsid w:val="00AC778C"/>
    <w:rsid w:val="00AC792A"/>
    <w:rsid w:val="00AD19E6"/>
    <w:rsid w:val="00AD571B"/>
    <w:rsid w:val="00AD7224"/>
    <w:rsid w:val="00AE1C19"/>
    <w:rsid w:val="00AE6BDA"/>
    <w:rsid w:val="00AF2BE8"/>
    <w:rsid w:val="00AF5C7C"/>
    <w:rsid w:val="00AF74CB"/>
    <w:rsid w:val="00AF7961"/>
    <w:rsid w:val="00B0190F"/>
    <w:rsid w:val="00B040EC"/>
    <w:rsid w:val="00B05CE3"/>
    <w:rsid w:val="00B067FA"/>
    <w:rsid w:val="00B076D6"/>
    <w:rsid w:val="00B121FD"/>
    <w:rsid w:val="00B12B4A"/>
    <w:rsid w:val="00B17715"/>
    <w:rsid w:val="00B22562"/>
    <w:rsid w:val="00B2314E"/>
    <w:rsid w:val="00B248E8"/>
    <w:rsid w:val="00B43819"/>
    <w:rsid w:val="00B45093"/>
    <w:rsid w:val="00B47642"/>
    <w:rsid w:val="00B51A82"/>
    <w:rsid w:val="00B531A8"/>
    <w:rsid w:val="00B57AE5"/>
    <w:rsid w:val="00B60E2E"/>
    <w:rsid w:val="00B61CC4"/>
    <w:rsid w:val="00B652CF"/>
    <w:rsid w:val="00B67E21"/>
    <w:rsid w:val="00B71385"/>
    <w:rsid w:val="00B72BDB"/>
    <w:rsid w:val="00B773E8"/>
    <w:rsid w:val="00B8002F"/>
    <w:rsid w:val="00B800D4"/>
    <w:rsid w:val="00B82437"/>
    <w:rsid w:val="00B82B40"/>
    <w:rsid w:val="00B86EB1"/>
    <w:rsid w:val="00B87AF1"/>
    <w:rsid w:val="00B91284"/>
    <w:rsid w:val="00B94466"/>
    <w:rsid w:val="00B977C5"/>
    <w:rsid w:val="00BA047C"/>
    <w:rsid w:val="00BA326C"/>
    <w:rsid w:val="00BA6BBE"/>
    <w:rsid w:val="00BB2E97"/>
    <w:rsid w:val="00BB5475"/>
    <w:rsid w:val="00BB5BC7"/>
    <w:rsid w:val="00BC0EFB"/>
    <w:rsid w:val="00BC26AC"/>
    <w:rsid w:val="00BC6FF6"/>
    <w:rsid w:val="00BC7C0F"/>
    <w:rsid w:val="00BD03D1"/>
    <w:rsid w:val="00BD0659"/>
    <w:rsid w:val="00BD4F3C"/>
    <w:rsid w:val="00BE0256"/>
    <w:rsid w:val="00BE340A"/>
    <w:rsid w:val="00BE5BA9"/>
    <w:rsid w:val="00BF53D7"/>
    <w:rsid w:val="00C022E0"/>
    <w:rsid w:val="00C037D7"/>
    <w:rsid w:val="00C0727F"/>
    <w:rsid w:val="00C11438"/>
    <w:rsid w:val="00C11F8D"/>
    <w:rsid w:val="00C167F5"/>
    <w:rsid w:val="00C16B05"/>
    <w:rsid w:val="00C17B16"/>
    <w:rsid w:val="00C311FF"/>
    <w:rsid w:val="00C32522"/>
    <w:rsid w:val="00C32663"/>
    <w:rsid w:val="00C345E3"/>
    <w:rsid w:val="00C422B3"/>
    <w:rsid w:val="00C44533"/>
    <w:rsid w:val="00C46210"/>
    <w:rsid w:val="00C51A14"/>
    <w:rsid w:val="00C53234"/>
    <w:rsid w:val="00C551E1"/>
    <w:rsid w:val="00C5543F"/>
    <w:rsid w:val="00C6116C"/>
    <w:rsid w:val="00C66179"/>
    <w:rsid w:val="00C73544"/>
    <w:rsid w:val="00C74BED"/>
    <w:rsid w:val="00C75B75"/>
    <w:rsid w:val="00C84525"/>
    <w:rsid w:val="00C84921"/>
    <w:rsid w:val="00C914C3"/>
    <w:rsid w:val="00C91E70"/>
    <w:rsid w:val="00C921BA"/>
    <w:rsid w:val="00C93C32"/>
    <w:rsid w:val="00C9409F"/>
    <w:rsid w:val="00C95373"/>
    <w:rsid w:val="00C969D6"/>
    <w:rsid w:val="00CA302C"/>
    <w:rsid w:val="00CA7DD6"/>
    <w:rsid w:val="00CB0939"/>
    <w:rsid w:val="00CB178B"/>
    <w:rsid w:val="00CB1E20"/>
    <w:rsid w:val="00CB6CF0"/>
    <w:rsid w:val="00CB6EA6"/>
    <w:rsid w:val="00CC0598"/>
    <w:rsid w:val="00CC494A"/>
    <w:rsid w:val="00CC790A"/>
    <w:rsid w:val="00CD2469"/>
    <w:rsid w:val="00CD2C29"/>
    <w:rsid w:val="00CE0E77"/>
    <w:rsid w:val="00CE3E0B"/>
    <w:rsid w:val="00CE5748"/>
    <w:rsid w:val="00CE58B6"/>
    <w:rsid w:val="00CE6DDA"/>
    <w:rsid w:val="00CE7924"/>
    <w:rsid w:val="00CF0603"/>
    <w:rsid w:val="00CF1657"/>
    <w:rsid w:val="00CF2371"/>
    <w:rsid w:val="00CF276E"/>
    <w:rsid w:val="00CF55C2"/>
    <w:rsid w:val="00D01090"/>
    <w:rsid w:val="00D01591"/>
    <w:rsid w:val="00D01903"/>
    <w:rsid w:val="00D0223E"/>
    <w:rsid w:val="00D04A2D"/>
    <w:rsid w:val="00D1381A"/>
    <w:rsid w:val="00D14428"/>
    <w:rsid w:val="00D16ADA"/>
    <w:rsid w:val="00D2126C"/>
    <w:rsid w:val="00D21373"/>
    <w:rsid w:val="00D226C8"/>
    <w:rsid w:val="00D23C26"/>
    <w:rsid w:val="00D26265"/>
    <w:rsid w:val="00D267A2"/>
    <w:rsid w:val="00D317F8"/>
    <w:rsid w:val="00D31922"/>
    <w:rsid w:val="00D32C0E"/>
    <w:rsid w:val="00D342CF"/>
    <w:rsid w:val="00D3701C"/>
    <w:rsid w:val="00D457A9"/>
    <w:rsid w:val="00D46EAE"/>
    <w:rsid w:val="00D7261C"/>
    <w:rsid w:val="00D73883"/>
    <w:rsid w:val="00D76C52"/>
    <w:rsid w:val="00D822B2"/>
    <w:rsid w:val="00D91CB2"/>
    <w:rsid w:val="00D94AE8"/>
    <w:rsid w:val="00DA0900"/>
    <w:rsid w:val="00DA4419"/>
    <w:rsid w:val="00DB545D"/>
    <w:rsid w:val="00DC1516"/>
    <w:rsid w:val="00DC3B2E"/>
    <w:rsid w:val="00DC3EB1"/>
    <w:rsid w:val="00DC4FCF"/>
    <w:rsid w:val="00DD64E9"/>
    <w:rsid w:val="00DD6965"/>
    <w:rsid w:val="00DD6C03"/>
    <w:rsid w:val="00DD6DD3"/>
    <w:rsid w:val="00DD7595"/>
    <w:rsid w:val="00DD7DC5"/>
    <w:rsid w:val="00DE3D5A"/>
    <w:rsid w:val="00DE7C93"/>
    <w:rsid w:val="00DF1595"/>
    <w:rsid w:val="00DF2E8C"/>
    <w:rsid w:val="00DF4118"/>
    <w:rsid w:val="00DF69E2"/>
    <w:rsid w:val="00E01E18"/>
    <w:rsid w:val="00E10840"/>
    <w:rsid w:val="00E11A77"/>
    <w:rsid w:val="00E1645F"/>
    <w:rsid w:val="00E24A90"/>
    <w:rsid w:val="00E3381D"/>
    <w:rsid w:val="00E347A0"/>
    <w:rsid w:val="00E60431"/>
    <w:rsid w:val="00E63DDD"/>
    <w:rsid w:val="00E646AC"/>
    <w:rsid w:val="00E72953"/>
    <w:rsid w:val="00E757EC"/>
    <w:rsid w:val="00E75CD0"/>
    <w:rsid w:val="00E76A6F"/>
    <w:rsid w:val="00E77DB9"/>
    <w:rsid w:val="00E8166E"/>
    <w:rsid w:val="00E82EB4"/>
    <w:rsid w:val="00E91579"/>
    <w:rsid w:val="00E91A8D"/>
    <w:rsid w:val="00E938E2"/>
    <w:rsid w:val="00E94FB0"/>
    <w:rsid w:val="00E95299"/>
    <w:rsid w:val="00E95A5A"/>
    <w:rsid w:val="00E97429"/>
    <w:rsid w:val="00E974BC"/>
    <w:rsid w:val="00EA08FC"/>
    <w:rsid w:val="00EA11D7"/>
    <w:rsid w:val="00EA3E60"/>
    <w:rsid w:val="00EA53BC"/>
    <w:rsid w:val="00EA5CF6"/>
    <w:rsid w:val="00EA6CE3"/>
    <w:rsid w:val="00EB06AB"/>
    <w:rsid w:val="00EB133C"/>
    <w:rsid w:val="00EB53A5"/>
    <w:rsid w:val="00EB772E"/>
    <w:rsid w:val="00EB79AD"/>
    <w:rsid w:val="00EC0479"/>
    <w:rsid w:val="00EC36F8"/>
    <w:rsid w:val="00ED1D33"/>
    <w:rsid w:val="00ED212E"/>
    <w:rsid w:val="00ED27EE"/>
    <w:rsid w:val="00ED7F59"/>
    <w:rsid w:val="00EF33F5"/>
    <w:rsid w:val="00EF58F9"/>
    <w:rsid w:val="00EF648D"/>
    <w:rsid w:val="00F008EE"/>
    <w:rsid w:val="00F027F8"/>
    <w:rsid w:val="00F04F74"/>
    <w:rsid w:val="00F05701"/>
    <w:rsid w:val="00F065A8"/>
    <w:rsid w:val="00F075CF"/>
    <w:rsid w:val="00F10512"/>
    <w:rsid w:val="00F11B13"/>
    <w:rsid w:val="00F13C99"/>
    <w:rsid w:val="00F22834"/>
    <w:rsid w:val="00F235E3"/>
    <w:rsid w:val="00F24358"/>
    <w:rsid w:val="00F247EA"/>
    <w:rsid w:val="00F3273C"/>
    <w:rsid w:val="00F32996"/>
    <w:rsid w:val="00F356E8"/>
    <w:rsid w:val="00F440C4"/>
    <w:rsid w:val="00F56FAC"/>
    <w:rsid w:val="00F570A5"/>
    <w:rsid w:val="00F57E3F"/>
    <w:rsid w:val="00F57F86"/>
    <w:rsid w:val="00F66683"/>
    <w:rsid w:val="00F73387"/>
    <w:rsid w:val="00F831AD"/>
    <w:rsid w:val="00F83948"/>
    <w:rsid w:val="00F84C1C"/>
    <w:rsid w:val="00F86A47"/>
    <w:rsid w:val="00F86A56"/>
    <w:rsid w:val="00F87571"/>
    <w:rsid w:val="00F94AF7"/>
    <w:rsid w:val="00F95C09"/>
    <w:rsid w:val="00FA2576"/>
    <w:rsid w:val="00FA4490"/>
    <w:rsid w:val="00FB0A76"/>
    <w:rsid w:val="00FB4BC6"/>
    <w:rsid w:val="00FB7BA5"/>
    <w:rsid w:val="00FC33F7"/>
    <w:rsid w:val="00FC4028"/>
    <w:rsid w:val="00FC4643"/>
    <w:rsid w:val="00FD13FE"/>
    <w:rsid w:val="00FD1D0E"/>
    <w:rsid w:val="00FD323A"/>
    <w:rsid w:val="00FE0D30"/>
    <w:rsid w:val="00FE1549"/>
    <w:rsid w:val="00FE30B8"/>
    <w:rsid w:val="00FE3C3A"/>
    <w:rsid w:val="00FE5617"/>
    <w:rsid w:val="00FF0402"/>
    <w:rsid w:val="00FF4796"/>
    <w:rsid w:val="00FF5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h41">
    <w:name w:val="h41"/>
    <w:rsid w:val="006466E5"/>
    <w:rPr>
      <w:b/>
      <w:bCs/>
      <w:color w:val="19194B"/>
      <w:sz w:val="23"/>
      <w:szCs w:val="23"/>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h41">
    <w:name w:val="h41"/>
    <w:rsid w:val="006466E5"/>
    <w:rPr>
      <w:b/>
      <w:bCs/>
      <w:color w:val="19194B"/>
      <w:sz w:val="23"/>
      <w:szCs w:val="23"/>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496697514">
      <w:bodyDiv w:val="1"/>
      <w:marLeft w:val="0"/>
      <w:marRight w:val="0"/>
      <w:marTop w:val="0"/>
      <w:marBottom w:val="0"/>
      <w:divBdr>
        <w:top w:val="none" w:sz="0" w:space="0" w:color="auto"/>
        <w:left w:val="none" w:sz="0" w:space="0" w:color="auto"/>
        <w:bottom w:val="none" w:sz="0" w:space="0" w:color="auto"/>
        <w:right w:val="none" w:sz="0" w:space="0" w:color="auto"/>
      </w:divBdr>
    </w:div>
    <w:div w:id="17804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B995-AAD8-4245-8D0A-8F01826F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8360</Characters>
  <Application>Microsoft Office Word</Application>
  <DocSecurity>2</DocSecurity>
  <Lines>69</Lines>
  <Paragraphs>19</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9711</CharactersWithSpaces>
  <SharedDoc>false</SharedDoc>
  <HLinks>
    <vt:vector size="6" baseType="variant">
      <vt:variant>
        <vt:i4>7864431</vt:i4>
      </vt:variant>
      <vt:variant>
        <vt:i4>0</vt:i4>
      </vt:variant>
      <vt:variant>
        <vt:i4>0</vt:i4>
      </vt:variant>
      <vt:variant>
        <vt:i4>5</vt:i4>
      </vt:variant>
      <vt:variant>
        <vt:lpwstr>http://www.mtu.de/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creator/>
  <cp:lastModifiedBy/>
  <cp:revision>1</cp:revision>
  <cp:lastPrinted>2009-02-27T06:47:00Z</cp:lastPrinted>
  <dcterms:created xsi:type="dcterms:W3CDTF">2017-10-19T12:56:00Z</dcterms:created>
  <dcterms:modified xsi:type="dcterms:W3CDTF">2017-10-25T10:13:00Z</dcterms:modified>
</cp:coreProperties>
</file>