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1B" w:rsidRPr="00C6738A" w:rsidRDefault="006C7C86" w:rsidP="00302095">
      <w:pPr>
        <w:tabs>
          <w:tab w:val="left" w:pos="9072"/>
        </w:tabs>
        <w:spacing w:line="300" w:lineRule="exact"/>
        <w:ind w:right="283"/>
        <w:jc w:val="both"/>
        <w:rPr>
          <w:rFonts w:ascii="CorpoS" w:hAnsi="CorpoS"/>
          <w:b/>
          <w:sz w:val="22"/>
          <w:szCs w:val="22"/>
          <w:lang w:val="de-DE"/>
        </w:rPr>
      </w:pPr>
      <w:r w:rsidRPr="00C6738A">
        <w:rPr>
          <w:rFonts w:ascii="CorpoS" w:hAnsi="CorpoS"/>
          <w:b/>
          <w:sz w:val="22"/>
          <w:szCs w:val="22"/>
          <w:lang w:val="de-DE"/>
        </w:rPr>
        <w:t xml:space="preserve">MTU </w:t>
      </w:r>
      <w:proofErr w:type="spellStart"/>
      <w:r w:rsidRPr="00C6738A">
        <w:rPr>
          <w:rFonts w:ascii="CorpoS" w:hAnsi="CorpoS"/>
          <w:b/>
          <w:sz w:val="22"/>
          <w:szCs w:val="22"/>
          <w:lang w:val="de-DE"/>
        </w:rPr>
        <w:t>Aero</w:t>
      </w:r>
      <w:proofErr w:type="spellEnd"/>
      <w:r w:rsidRPr="00C6738A">
        <w:rPr>
          <w:rFonts w:ascii="CorpoS" w:hAnsi="CorpoS"/>
          <w:b/>
          <w:sz w:val="22"/>
          <w:szCs w:val="22"/>
          <w:lang w:val="de-DE"/>
        </w:rPr>
        <w:t xml:space="preserve"> </w:t>
      </w:r>
      <w:proofErr w:type="spellStart"/>
      <w:r w:rsidRPr="00C6738A">
        <w:rPr>
          <w:rFonts w:ascii="CorpoS" w:hAnsi="CorpoS"/>
          <w:b/>
          <w:sz w:val="22"/>
          <w:szCs w:val="22"/>
          <w:lang w:val="de-DE"/>
        </w:rPr>
        <w:t>Engines</w:t>
      </w:r>
      <w:proofErr w:type="spellEnd"/>
      <w:r w:rsidRPr="00C6738A">
        <w:rPr>
          <w:rFonts w:ascii="CorpoS" w:hAnsi="CorpoS"/>
          <w:b/>
          <w:sz w:val="22"/>
          <w:szCs w:val="22"/>
          <w:lang w:val="de-DE"/>
        </w:rPr>
        <w:t xml:space="preserve"> </w:t>
      </w:r>
      <w:r w:rsidR="00E526C7" w:rsidRPr="00C6738A">
        <w:rPr>
          <w:rFonts w:ascii="CorpoS" w:hAnsi="CorpoS"/>
          <w:b/>
          <w:sz w:val="22"/>
          <w:szCs w:val="22"/>
          <w:lang w:val="de-DE"/>
        </w:rPr>
        <w:t xml:space="preserve">AG </w:t>
      </w:r>
      <w:r w:rsidR="00C6738A" w:rsidRPr="00C6738A">
        <w:rPr>
          <w:rFonts w:ascii="CorpoS" w:hAnsi="CorpoS"/>
          <w:b/>
          <w:sz w:val="22"/>
          <w:szCs w:val="22"/>
          <w:lang w:val="de-DE"/>
        </w:rPr>
        <w:t>nach neun</w:t>
      </w:r>
      <w:r w:rsidRPr="00C6738A">
        <w:rPr>
          <w:rFonts w:ascii="CorpoS" w:hAnsi="CorpoS"/>
          <w:b/>
          <w:sz w:val="22"/>
          <w:szCs w:val="22"/>
          <w:lang w:val="de-DE"/>
        </w:rPr>
        <w:t xml:space="preserve"> Monaten </w:t>
      </w:r>
      <w:r w:rsidR="00C6738A" w:rsidRPr="00C6738A">
        <w:rPr>
          <w:rFonts w:ascii="CorpoS" w:hAnsi="CorpoS"/>
          <w:b/>
          <w:sz w:val="22"/>
          <w:szCs w:val="22"/>
          <w:lang w:val="de-DE"/>
        </w:rPr>
        <w:t>mit Umsatz- und Ergebniswachstum</w:t>
      </w:r>
    </w:p>
    <w:p w:rsidR="0000441F" w:rsidRDefault="00526131" w:rsidP="00027B52">
      <w:pPr>
        <w:numPr>
          <w:ilvl w:val="0"/>
          <w:numId w:val="12"/>
        </w:numPr>
        <w:tabs>
          <w:tab w:val="left" w:pos="9072"/>
        </w:tabs>
        <w:spacing w:line="300" w:lineRule="exact"/>
        <w:ind w:right="283"/>
        <w:jc w:val="both"/>
        <w:rPr>
          <w:rFonts w:ascii="CorpoS" w:hAnsi="CorpoS"/>
          <w:b/>
          <w:sz w:val="22"/>
          <w:szCs w:val="22"/>
          <w:lang w:val="de-DE"/>
        </w:rPr>
      </w:pPr>
      <w:r w:rsidRPr="0000441F">
        <w:rPr>
          <w:rFonts w:ascii="CorpoS" w:hAnsi="CorpoS"/>
          <w:b/>
          <w:sz w:val="22"/>
          <w:szCs w:val="22"/>
          <w:lang w:val="de-DE"/>
        </w:rPr>
        <w:t xml:space="preserve">Umsatz </w:t>
      </w:r>
      <w:r w:rsidR="0000441F">
        <w:rPr>
          <w:rFonts w:ascii="CorpoS" w:hAnsi="CorpoS"/>
          <w:b/>
          <w:sz w:val="22"/>
          <w:szCs w:val="22"/>
          <w:lang w:val="de-DE"/>
        </w:rPr>
        <w:t>nimmt</w:t>
      </w:r>
      <w:r w:rsidRPr="0000441F">
        <w:rPr>
          <w:rFonts w:ascii="CorpoS" w:hAnsi="CorpoS"/>
          <w:b/>
          <w:sz w:val="22"/>
          <w:szCs w:val="22"/>
          <w:lang w:val="de-DE"/>
        </w:rPr>
        <w:t xml:space="preserve"> um 3 % auf 3,4 Mrd. € </w:t>
      </w:r>
      <w:r w:rsidR="0000441F">
        <w:rPr>
          <w:rFonts w:ascii="CorpoS" w:hAnsi="CorpoS"/>
          <w:b/>
          <w:sz w:val="22"/>
          <w:szCs w:val="22"/>
          <w:lang w:val="de-DE"/>
        </w:rPr>
        <w:t>zu</w:t>
      </w:r>
    </w:p>
    <w:p w:rsidR="00526131" w:rsidRPr="0000441F" w:rsidRDefault="00526131" w:rsidP="00027B52">
      <w:pPr>
        <w:numPr>
          <w:ilvl w:val="0"/>
          <w:numId w:val="12"/>
        </w:numPr>
        <w:tabs>
          <w:tab w:val="left" w:pos="9072"/>
        </w:tabs>
        <w:spacing w:line="300" w:lineRule="exact"/>
        <w:ind w:right="283"/>
        <w:jc w:val="both"/>
        <w:rPr>
          <w:rFonts w:ascii="CorpoS" w:hAnsi="CorpoS"/>
          <w:b/>
          <w:sz w:val="22"/>
          <w:szCs w:val="22"/>
          <w:lang w:val="de-DE"/>
        </w:rPr>
      </w:pPr>
      <w:r w:rsidRPr="0000441F">
        <w:rPr>
          <w:rFonts w:ascii="CorpoS" w:hAnsi="CorpoS"/>
          <w:b/>
          <w:sz w:val="22"/>
          <w:szCs w:val="22"/>
          <w:lang w:val="de-DE"/>
        </w:rPr>
        <w:t xml:space="preserve">Ergebnis </w:t>
      </w:r>
      <w:r w:rsidR="0000441F">
        <w:rPr>
          <w:rFonts w:ascii="CorpoS" w:hAnsi="CorpoS"/>
          <w:b/>
          <w:sz w:val="22"/>
          <w:szCs w:val="22"/>
          <w:lang w:val="de-DE"/>
        </w:rPr>
        <w:t>steigt</w:t>
      </w:r>
      <w:r w:rsidRPr="0000441F">
        <w:rPr>
          <w:rFonts w:ascii="CorpoS" w:hAnsi="CorpoS"/>
          <w:b/>
          <w:sz w:val="22"/>
          <w:szCs w:val="22"/>
          <w:lang w:val="de-DE"/>
        </w:rPr>
        <w:t xml:space="preserve"> um 10 % auf 5</w:t>
      </w:r>
      <w:r w:rsidR="00E855BE">
        <w:rPr>
          <w:rFonts w:ascii="CorpoS" w:hAnsi="CorpoS"/>
          <w:b/>
          <w:sz w:val="22"/>
          <w:szCs w:val="22"/>
          <w:lang w:val="de-DE"/>
        </w:rPr>
        <w:t>57,7</w:t>
      </w:r>
      <w:r w:rsidRPr="0000441F">
        <w:rPr>
          <w:rFonts w:ascii="CorpoS" w:hAnsi="CorpoS"/>
          <w:b/>
          <w:sz w:val="22"/>
          <w:szCs w:val="22"/>
          <w:lang w:val="de-DE"/>
        </w:rPr>
        <w:t xml:space="preserve"> Mio. €, Gewinn um 8 % auf 391,7 Mio. €</w:t>
      </w:r>
    </w:p>
    <w:p w:rsidR="00C167F5" w:rsidRPr="00C6738A" w:rsidRDefault="00C6738A" w:rsidP="00C167F5">
      <w:pPr>
        <w:numPr>
          <w:ilvl w:val="0"/>
          <w:numId w:val="12"/>
        </w:numPr>
        <w:tabs>
          <w:tab w:val="left" w:pos="9072"/>
        </w:tabs>
        <w:spacing w:line="300" w:lineRule="exact"/>
        <w:ind w:right="283"/>
        <w:jc w:val="both"/>
        <w:rPr>
          <w:rFonts w:ascii="CorpoS" w:hAnsi="CorpoS"/>
          <w:b/>
          <w:sz w:val="22"/>
          <w:szCs w:val="22"/>
          <w:lang w:val="de-DE"/>
        </w:rPr>
      </w:pPr>
      <w:r w:rsidRPr="00C6738A">
        <w:rPr>
          <w:rFonts w:ascii="CorpoS" w:hAnsi="CorpoS"/>
          <w:b/>
          <w:sz w:val="22"/>
          <w:szCs w:val="22"/>
          <w:lang w:val="de-DE"/>
        </w:rPr>
        <w:t>Prognose bestätigt</w:t>
      </w:r>
    </w:p>
    <w:p w:rsidR="00C51A14" w:rsidRPr="00C6738A" w:rsidRDefault="00C51A14" w:rsidP="00C51A14">
      <w:pPr>
        <w:tabs>
          <w:tab w:val="left" w:pos="9072"/>
        </w:tabs>
        <w:spacing w:line="300" w:lineRule="exact"/>
        <w:ind w:right="283"/>
        <w:jc w:val="both"/>
        <w:rPr>
          <w:rFonts w:ascii="CorpoS" w:hAnsi="CorpoS"/>
          <w:b/>
          <w:sz w:val="22"/>
          <w:szCs w:val="22"/>
          <w:lang w:val="de-DE"/>
        </w:rPr>
      </w:pPr>
    </w:p>
    <w:p w:rsidR="00C51A14" w:rsidRPr="004C5F8C" w:rsidRDefault="00C51A14" w:rsidP="00C51A14">
      <w:pPr>
        <w:tabs>
          <w:tab w:val="left" w:pos="7655"/>
          <w:tab w:val="left" w:pos="9072"/>
        </w:tabs>
        <w:spacing w:line="300" w:lineRule="exact"/>
        <w:ind w:right="283"/>
        <w:jc w:val="both"/>
        <w:rPr>
          <w:rFonts w:ascii="CorpoS" w:hAnsi="CorpoS"/>
          <w:sz w:val="22"/>
          <w:szCs w:val="22"/>
          <w:lang w:val="de-DE"/>
        </w:rPr>
      </w:pPr>
      <w:r w:rsidRPr="00944CD8">
        <w:rPr>
          <w:rFonts w:ascii="CorpoS" w:hAnsi="CorpoS"/>
          <w:sz w:val="22"/>
          <w:szCs w:val="22"/>
          <w:lang w:val="de-DE"/>
        </w:rPr>
        <w:t xml:space="preserve">München, </w:t>
      </w:r>
      <w:r w:rsidR="00D7050F" w:rsidRPr="00944CD8">
        <w:rPr>
          <w:rFonts w:ascii="CorpoS" w:hAnsi="CorpoS"/>
          <w:sz w:val="22"/>
          <w:szCs w:val="22"/>
          <w:lang w:val="de-DE"/>
        </w:rPr>
        <w:t>25</w:t>
      </w:r>
      <w:r w:rsidRPr="00944CD8">
        <w:rPr>
          <w:rFonts w:ascii="CorpoS" w:hAnsi="CorpoS"/>
          <w:sz w:val="22"/>
          <w:szCs w:val="22"/>
          <w:lang w:val="de-DE"/>
        </w:rPr>
        <w:t xml:space="preserve">. </w:t>
      </w:r>
      <w:r w:rsidR="002C2460" w:rsidRPr="00944CD8">
        <w:rPr>
          <w:rFonts w:ascii="CorpoS" w:hAnsi="CorpoS"/>
          <w:sz w:val="22"/>
          <w:szCs w:val="22"/>
          <w:lang w:val="de-DE"/>
        </w:rPr>
        <w:t>Oktober</w:t>
      </w:r>
      <w:r w:rsidRPr="00944CD8">
        <w:rPr>
          <w:rFonts w:ascii="CorpoS" w:hAnsi="CorpoS"/>
          <w:sz w:val="22"/>
          <w:szCs w:val="22"/>
          <w:lang w:val="de-DE"/>
        </w:rPr>
        <w:t xml:space="preserve"> 201</w:t>
      </w:r>
      <w:r w:rsidR="00944CD8" w:rsidRPr="00944CD8">
        <w:rPr>
          <w:rFonts w:ascii="CorpoS" w:hAnsi="CorpoS"/>
          <w:sz w:val="22"/>
          <w:szCs w:val="22"/>
          <w:lang w:val="de-DE"/>
        </w:rPr>
        <w:t>9</w:t>
      </w:r>
      <w:r w:rsidRPr="00944CD8">
        <w:rPr>
          <w:rFonts w:ascii="CorpoS" w:hAnsi="CorpoS"/>
          <w:sz w:val="22"/>
          <w:szCs w:val="22"/>
          <w:lang w:val="de-DE"/>
        </w:rPr>
        <w:t xml:space="preserve"> </w:t>
      </w:r>
      <w:r w:rsidRPr="004C5F8C">
        <w:rPr>
          <w:rFonts w:ascii="CorpoS" w:hAnsi="CorpoS"/>
          <w:sz w:val="22"/>
          <w:szCs w:val="22"/>
          <w:lang w:val="de-DE"/>
        </w:rPr>
        <w:t xml:space="preserve">– Die MTU Aero Engines AG hat </w:t>
      </w:r>
      <w:r w:rsidR="0065120E" w:rsidRPr="004C5F8C">
        <w:rPr>
          <w:rFonts w:ascii="CorpoS" w:hAnsi="CorpoS"/>
          <w:sz w:val="22"/>
          <w:szCs w:val="22"/>
          <w:lang w:val="de-DE"/>
        </w:rPr>
        <w:t>in den erste</w:t>
      </w:r>
      <w:r w:rsidR="009153DB" w:rsidRPr="004C5F8C">
        <w:rPr>
          <w:rFonts w:ascii="CorpoS" w:hAnsi="CorpoS"/>
          <w:sz w:val="22"/>
          <w:szCs w:val="22"/>
          <w:lang w:val="de-DE"/>
        </w:rPr>
        <w:t>n</w:t>
      </w:r>
      <w:r w:rsidR="0065120E" w:rsidRPr="004C5F8C">
        <w:rPr>
          <w:rFonts w:ascii="CorpoS" w:hAnsi="CorpoS"/>
          <w:sz w:val="22"/>
          <w:szCs w:val="22"/>
          <w:lang w:val="de-DE"/>
        </w:rPr>
        <w:t xml:space="preserve"> neun Monaten 201</w:t>
      </w:r>
      <w:r w:rsidR="004C5F8C" w:rsidRPr="004C5F8C">
        <w:rPr>
          <w:rFonts w:ascii="CorpoS" w:hAnsi="CorpoS"/>
          <w:sz w:val="22"/>
          <w:szCs w:val="22"/>
          <w:lang w:val="de-DE"/>
        </w:rPr>
        <w:t xml:space="preserve">9 einen Umsatz in Höhe von 3.403,7 Mio. € erwirtschaftet, 3 % mehr als im Vergleichszeitraum (1-9/2018: </w:t>
      </w:r>
      <w:r w:rsidR="0065120E" w:rsidRPr="004C5F8C">
        <w:rPr>
          <w:rFonts w:ascii="CorpoS" w:hAnsi="CorpoS"/>
          <w:sz w:val="22"/>
          <w:szCs w:val="22"/>
          <w:lang w:val="de-DE"/>
        </w:rPr>
        <w:t>3.</w:t>
      </w:r>
      <w:r w:rsidR="007E2F59" w:rsidRPr="004C5F8C">
        <w:rPr>
          <w:rFonts w:ascii="CorpoS" w:hAnsi="CorpoS"/>
          <w:sz w:val="22"/>
          <w:szCs w:val="22"/>
          <w:lang w:val="de-DE"/>
        </w:rPr>
        <w:t>318,7</w:t>
      </w:r>
      <w:r w:rsidR="0065120E" w:rsidRPr="004C5F8C">
        <w:rPr>
          <w:rFonts w:ascii="CorpoS" w:hAnsi="CorpoS"/>
          <w:sz w:val="22"/>
          <w:szCs w:val="22"/>
          <w:lang w:val="de-DE"/>
        </w:rPr>
        <w:t xml:space="preserve"> Mio. €</w:t>
      </w:r>
      <w:r w:rsidR="00FD13FE" w:rsidRPr="004C5F8C">
        <w:rPr>
          <w:rFonts w:ascii="CorpoS" w:hAnsi="CorpoS"/>
          <w:sz w:val="22"/>
          <w:szCs w:val="22"/>
          <w:lang w:val="de-DE"/>
        </w:rPr>
        <w:t xml:space="preserve">). </w:t>
      </w:r>
      <w:r w:rsidR="0065120E" w:rsidRPr="004C5F8C">
        <w:rPr>
          <w:rFonts w:ascii="CorpoS" w:hAnsi="CorpoS"/>
          <w:sz w:val="22"/>
          <w:szCs w:val="22"/>
          <w:lang w:val="de-DE"/>
        </w:rPr>
        <w:t xml:space="preserve">Das </w:t>
      </w:r>
      <w:r w:rsidRPr="004C5F8C">
        <w:rPr>
          <w:rFonts w:ascii="CorpoS" w:hAnsi="CorpoS"/>
          <w:sz w:val="22"/>
          <w:szCs w:val="22"/>
          <w:lang w:val="de-DE"/>
        </w:rPr>
        <w:t>operative Ergebnis</w:t>
      </w:r>
      <w:r w:rsidRPr="004C5F8C">
        <w:rPr>
          <w:rStyle w:val="Funotenzeichen"/>
          <w:rFonts w:ascii="CorpoS" w:hAnsi="CorpoS"/>
          <w:b/>
          <w:sz w:val="22"/>
          <w:szCs w:val="22"/>
          <w:lang w:val="de-DE"/>
        </w:rPr>
        <w:footnoteReference w:id="1"/>
      </w:r>
      <w:r w:rsidR="0076577A" w:rsidRPr="004C5F8C">
        <w:rPr>
          <w:rFonts w:ascii="CorpoS" w:hAnsi="CorpoS"/>
          <w:sz w:val="22"/>
          <w:szCs w:val="22"/>
          <w:lang w:val="de-DE"/>
        </w:rPr>
        <w:t xml:space="preserve"> </w:t>
      </w:r>
      <w:r w:rsidR="004C5F8C" w:rsidRPr="004C5F8C">
        <w:rPr>
          <w:rFonts w:ascii="CorpoS" w:hAnsi="CorpoS"/>
          <w:sz w:val="22"/>
          <w:szCs w:val="22"/>
          <w:lang w:val="de-DE"/>
        </w:rPr>
        <w:t xml:space="preserve">hat das Unternehmen </w:t>
      </w:r>
      <w:r w:rsidRPr="004C5F8C">
        <w:rPr>
          <w:rFonts w:ascii="CorpoS" w:hAnsi="CorpoS"/>
          <w:sz w:val="22"/>
          <w:szCs w:val="22"/>
          <w:lang w:val="de-DE"/>
        </w:rPr>
        <w:t xml:space="preserve">um </w:t>
      </w:r>
      <w:r w:rsidR="0065120E" w:rsidRPr="004C5F8C">
        <w:rPr>
          <w:rFonts w:ascii="CorpoS" w:hAnsi="CorpoS"/>
          <w:sz w:val="22"/>
          <w:szCs w:val="22"/>
          <w:lang w:val="de-DE"/>
        </w:rPr>
        <w:t>1</w:t>
      </w:r>
      <w:r w:rsidR="004C5F8C" w:rsidRPr="004C5F8C">
        <w:rPr>
          <w:rFonts w:ascii="CorpoS" w:hAnsi="CorpoS"/>
          <w:sz w:val="22"/>
          <w:szCs w:val="22"/>
          <w:lang w:val="de-DE"/>
        </w:rPr>
        <w:t>0</w:t>
      </w:r>
      <w:r w:rsidRPr="004C5F8C">
        <w:rPr>
          <w:rFonts w:ascii="CorpoS" w:hAnsi="CorpoS"/>
          <w:sz w:val="22"/>
          <w:szCs w:val="22"/>
          <w:lang w:val="de-DE"/>
        </w:rPr>
        <w:t xml:space="preserve"> % </w:t>
      </w:r>
      <w:r w:rsidR="0065120E" w:rsidRPr="004C5F8C">
        <w:rPr>
          <w:rFonts w:ascii="CorpoS" w:hAnsi="CorpoS"/>
          <w:sz w:val="22"/>
          <w:szCs w:val="22"/>
          <w:lang w:val="de-DE"/>
        </w:rPr>
        <w:t xml:space="preserve">von </w:t>
      </w:r>
      <w:r w:rsidR="007E2F59" w:rsidRPr="004C5F8C">
        <w:rPr>
          <w:rFonts w:ascii="CorpoS" w:hAnsi="CorpoS"/>
          <w:sz w:val="22"/>
          <w:szCs w:val="22"/>
          <w:lang w:val="de-DE"/>
        </w:rPr>
        <w:t>508,9</w:t>
      </w:r>
      <w:r w:rsidR="0065120E" w:rsidRPr="004C5F8C">
        <w:rPr>
          <w:rFonts w:ascii="CorpoS" w:hAnsi="CorpoS"/>
          <w:sz w:val="22"/>
          <w:szCs w:val="22"/>
          <w:lang w:val="de-DE"/>
        </w:rPr>
        <w:t xml:space="preserve"> Mio. €</w:t>
      </w:r>
      <w:r w:rsidR="004C5F8C" w:rsidRPr="004C5F8C">
        <w:rPr>
          <w:rFonts w:ascii="CorpoS" w:hAnsi="CorpoS"/>
          <w:sz w:val="22"/>
          <w:szCs w:val="22"/>
          <w:lang w:val="de-DE"/>
        </w:rPr>
        <w:t xml:space="preserve"> auf 557,7 Mio. € gesteigert</w:t>
      </w:r>
      <w:r w:rsidR="00AF4CD5" w:rsidRPr="004C5F8C">
        <w:rPr>
          <w:rFonts w:ascii="CorpoS" w:hAnsi="CorpoS"/>
          <w:sz w:val="22"/>
          <w:szCs w:val="22"/>
          <w:lang w:val="de-DE"/>
        </w:rPr>
        <w:t>. Die</w:t>
      </w:r>
      <w:r w:rsidR="007E2F59" w:rsidRPr="004C5F8C">
        <w:rPr>
          <w:rFonts w:ascii="CorpoS" w:hAnsi="CorpoS"/>
          <w:sz w:val="22"/>
          <w:szCs w:val="22"/>
          <w:lang w:val="de-DE"/>
        </w:rPr>
        <w:t xml:space="preserve"> Ergebnismarge </w:t>
      </w:r>
      <w:r w:rsidR="004C5F8C" w:rsidRPr="004C5F8C">
        <w:rPr>
          <w:rFonts w:ascii="CorpoS" w:hAnsi="CorpoS"/>
          <w:sz w:val="22"/>
          <w:szCs w:val="22"/>
          <w:lang w:val="de-DE"/>
        </w:rPr>
        <w:t xml:space="preserve">nahm von </w:t>
      </w:r>
      <w:r w:rsidR="007E2F59" w:rsidRPr="004C5F8C">
        <w:rPr>
          <w:rFonts w:ascii="CorpoS" w:hAnsi="CorpoS"/>
          <w:sz w:val="22"/>
          <w:szCs w:val="22"/>
          <w:lang w:val="de-DE"/>
        </w:rPr>
        <w:t>15,3 %</w:t>
      </w:r>
      <w:r w:rsidR="004C5F8C" w:rsidRPr="004C5F8C">
        <w:rPr>
          <w:rFonts w:ascii="CorpoS" w:hAnsi="CorpoS"/>
          <w:sz w:val="22"/>
          <w:szCs w:val="22"/>
          <w:lang w:val="de-DE"/>
        </w:rPr>
        <w:t xml:space="preserve"> auf 16,4 % zu. </w:t>
      </w:r>
      <w:r w:rsidR="00117AFF" w:rsidRPr="004C5F8C">
        <w:rPr>
          <w:rFonts w:ascii="CorpoS" w:hAnsi="CorpoS"/>
          <w:sz w:val="22"/>
          <w:szCs w:val="22"/>
          <w:lang w:val="de-DE"/>
        </w:rPr>
        <w:t>De</w:t>
      </w:r>
      <w:r w:rsidR="007730A7" w:rsidRPr="004C5F8C">
        <w:rPr>
          <w:rFonts w:ascii="CorpoS" w:hAnsi="CorpoS"/>
          <w:sz w:val="22"/>
          <w:szCs w:val="22"/>
          <w:lang w:val="de-DE"/>
        </w:rPr>
        <w:t xml:space="preserve">r </w:t>
      </w:r>
      <w:r w:rsidRPr="004C5F8C">
        <w:rPr>
          <w:rFonts w:ascii="CorpoS" w:hAnsi="CorpoS"/>
          <w:sz w:val="22"/>
          <w:szCs w:val="22"/>
          <w:lang w:val="de-DE"/>
        </w:rPr>
        <w:t>Gewinn nach Steuern</w:t>
      </w:r>
      <w:r w:rsidRPr="004C5F8C">
        <w:rPr>
          <w:rStyle w:val="Funotenzeichen"/>
          <w:rFonts w:ascii="CorpoS" w:hAnsi="CorpoS"/>
          <w:b/>
          <w:sz w:val="22"/>
          <w:szCs w:val="22"/>
          <w:lang w:val="de-DE"/>
        </w:rPr>
        <w:footnoteReference w:id="2"/>
      </w:r>
      <w:r w:rsidRPr="004C5F8C">
        <w:rPr>
          <w:rFonts w:ascii="CorpoS" w:hAnsi="CorpoS"/>
          <w:sz w:val="22"/>
          <w:szCs w:val="22"/>
          <w:lang w:val="de-DE"/>
        </w:rPr>
        <w:t xml:space="preserve"> </w:t>
      </w:r>
      <w:r w:rsidR="004C5F8C" w:rsidRPr="004C5F8C">
        <w:rPr>
          <w:rFonts w:ascii="CorpoS" w:hAnsi="CorpoS"/>
          <w:sz w:val="22"/>
          <w:szCs w:val="22"/>
          <w:lang w:val="de-DE"/>
        </w:rPr>
        <w:t>stieg</w:t>
      </w:r>
      <w:r w:rsidR="00AF4CD5" w:rsidRPr="004C5F8C">
        <w:rPr>
          <w:rFonts w:ascii="CorpoS" w:hAnsi="CorpoS"/>
          <w:sz w:val="22"/>
          <w:szCs w:val="22"/>
          <w:lang w:val="de-DE"/>
        </w:rPr>
        <w:t xml:space="preserve"> um </w:t>
      </w:r>
      <w:r w:rsidR="004C5F8C" w:rsidRPr="004C5F8C">
        <w:rPr>
          <w:rFonts w:ascii="CorpoS" w:hAnsi="CorpoS"/>
          <w:sz w:val="22"/>
          <w:szCs w:val="22"/>
          <w:lang w:val="de-DE"/>
        </w:rPr>
        <w:t>8</w:t>
      </w:r>
      <w:r w:rsidR="00AF4CD5" w:rsidRPr="004C5F8C">
        <w:rPr>
          <w:rFonts w:ascii="CorpoS" w:hAnsi="CorpoS"/>
          <w:sz w:val="22"/>
          <w:szCs w:val="22"/>
          <w:lang w:val="de-DE"/>
        </w:rPr>
        <w:t xml:space="preserve"> % auf </w:t>
      </w:r>
      <w:r w:rsidR="004C5F8C" w:rsidRPr="004C5F8C">
        <w:rPr>
          <w:rFonts w:ascii="CorpoS" w:hAnsi="CorpoS"/>
          <w:sz w:val="22"/>
          <w:szCs w:val="22"/>
          <w:lang w:val="de-DE"/>
        </w:rPr>
        <w:t xml:space="preserve">391,7 Mio. € (1-9/2018: </w:t>
      </w:r>
      <w:r w:rsidR="00AF4CD5" w:rsidRPr="004C5F8C">
        <w:rPr>
          <w:rFonts w:ascii="CorpoS" w:hAnsi="CorpoS"/>
          <w:sz w:val="22"/>
          <w:szCs w:val="22"/>
          <w:lang w:val="de-DE"/>
        </w:rPr>
        <w:t>362,8 Mio. €</w:t>
      </w:r>
      <w:r w:rsidRPr="004C5F8C">
        <w:rPr>
          <w:rFonts w:ascii="CorpoS" w:hAnsi="CorpoS"/>
          <w:sz w:val="22"/>
          <w:szCs w:val="22"/>
          <w:lang w:val="de-DE"/>
        </w:rPr>
        <w:t>).</w:t>
      </w:r>
    </w:p>
    <w:p w:rsidR="00C51A14" w:rsidRPr="004C5F8C" w:rsidRDefault="00C51A14" w:rsidP="00C51A14">
      <w:pPr>
        <w:tabs>
          <w:tab w:val="left" w:pos="7655"/>
          <w:tab w:val="left" w:pos="9072"/>
        </w:tabs>
        <w:spacing w:line="300" w:lineRule="exact"/>
        <w:ind w:right="283"/>
        <w:jc w:val="both"/>
        <w:rPr>
          <w:rFonts w:ascii="CorpoS" w:hAnsi="CorpoS"/>
          <w:sz w:val="22"/>
          <w:szCs w:val="22"/>
          <w:lang w:val="de-DE"/>
        </w:rPr>
      </w:pPr>
    </w:p>
    <w:p w:rsidR="007600C0" w:rsidRPr="00686E41" w:rsidRDefault="00C51A14" w:rsidP="007600C0">
      <w:pPr>
        <w:tabs>
          <w:tab w:val="left" w:pos="7655"/>
          <w:tab w:val="left" w:pos="9072"/>
        </w:tabs>
        <w:spacing w:line="300" w:lineRule="exact"/>
        <w:ind w:right="283"/>
        <w:jc w:val="both"/>
        <w:rPr>
          <w:rFonts w:ascii="CorpoS" w:hAnsi="CorpoS"/>
          <w:sz w:val="22"/>
          <w:szCs w:val="22"/>
          <w:lang w:val="de-DE"/>
        </w:rPr>
      </w:pPr>
      <w:r w:rsidRPr="004044B7">
        <w:rPr>
          <w:rFonts w:ascii="CorpoS" w:hAnsi="CorpoS"/>
          <w:sz w:val="22"/>
          <w:szCs w:val="22"/>
          <w:lang w:val="de-DE"/>
        </w:rPr>
        <w:t>„</w:t>
      </w:r>
      <w:r w:rsidR="004044B7" w:rsidRPr="004044B7">
        <w:rPr>
          <w:rFonts w:ascii="CorpoS" w:hAnsi="CorpoS"/>
          <w:sz w:val="22"/>
          <w:szCs w:val="22"/>
          <w:lang w:val="de-DE"/>
        </w:rPr>
        <w:t xml:space="preserve">Mit diesem Ergebnis halten wir Kurs auf unsere Zielerreichung 2019 und bestätigen heute unsere </w:t>
      </w:r>
      <w:r w:rsidR="00AF4071">
        <w:rPr>
          <w:rFonts w:ascii="CorpoS" w:hAnsi="CorpoS"/>
          <w:sz w:val="22"/>
          <w:szCs w:val="22"/>
          <w:lang w:val="de-DE"/>
        </w:rPr>
        <w:br w:type="textWrapping" w:clear="all"/>
      </w:r>
      <w:r w:rsidR="004044B7" w:rsidRPr="004044B7">
        <w:rPr>
          <w:rFonts w:ascii="CorpoS" w:hAnsi="CorpoS"/>
          <w:sz w:val="22"/>
          <w:szCs w:val="22"/>
          <w:lang w:val="de-DE"/>
        </w:rPr>
        <w:t>Prognose</w:t>
      </w:r>
      <w:r w:rsidR="008C5630" w:rsidRPr="004044B7">
        <w:rPr>
          <w:rFonts w:ascii="CorpoS" w:hAnsi="CorpoS"/>
          <w:sz w:val="22"/>
          <w:szCs w:val="22"/>
          <w:lang w:val="de-DE"/>
        </w:rPr>
        <w:t xml:space="preserve">“, </w:t>
      </w:r>
      <w:r w:rsidR="004044B7" w:rsidRPr="004044B7">
        <w:rPr>
          <w:rFonts w:ascii="CorpoS" w:hAnsi="CorpoS"/>
          <w:sz w:val="22"/>
          <w:szCs w:val="22"/>
          <w:lang w:val="de-DE"/>
        </w:rPr>
        <w:t>sagte</w:t>
      </w:r>
      <w:r w:rsidR="008C5630" w:rsidRPr="004044B7">
        <w:rPr>
          <w:rFonts w:ascii="CorpoS" w:hAnsi="CorpoS"/>
          <w:sz w:val="22"/>
          <w:szCs w:val="22"/>
          <w:lang w:val="de-DE"/>
        </w:rPr>
        <w:t xml:space="preserve"> Reiner </w:t>
      </w:r>
      <w:r w:rsidR="008C5630" w:rsidRPr="003D1EC3">
        <w:rPr>
          <w:rFonts w:ascii="CorpoS" w:hAnsi="CorpoS"/>
          <w:sz w:val="22"/>
          <w:szCs w:val="22"/>
          <w:lang w:val="de-DE"/>
        </w:rPr>
        <w:t xml:space="preserve">Winkler, Vorstandsvorsitzender der MTU </w:t>
      </w:r>
      <w:proofErr w:type="spellStart"/>
      <w:r w:rsidR="008C5630" w:rsidRPr="003D1EC3">
        <w:rPr>
          <w:rFonts w:ascii="CorpoS" w:hAnsi="CorpoS"/>
          <w:sz w:val="22"/>
          <w:szCs w:val="22"/>
          <w:lang w:val="de-DE"/>
        </w:rPr>
        <w:t>Aero</w:t>
      </w:r>
      <w:proofErr w:type="spellEnd"/>
      <w:r w:rsidR="008C5630" w:rsidRPr="003D1EC3">
        <w:rPr>
          <w:rFonts w:ascii="CorpoS" w:hAnsi="CorpoS"/>
          <w:sz w:val="22"/>
          <w:szCs w:val="22"/>
          <w:lang w:val="de-DE"/>
        </w:rPr>
        <w:t xml:space="preserve"> </w:t>
      </w:r>
      <w:proofErr w:type="spellStart"/>
      <w:r w:rsidR="008C5630" w:rsidRPr="003D1EC3">
        <w:rPr>
          <w:rFonts w:ascii="CorpoS" w:hAnsi="CorpoS"/>
          <w:sz w:val="22"/>
          <w:szCs w:val="22"/>
          <w:lang w:val="de-DE"/>
        </w:rPr>
        <w:t>Engines</w:t>
      </w:r>
      <w:proofErr w:type="spellEnd"/>
      <w:r w:rsidR="008C5630" w:rsidRPr="00686E41">
        <w:rPr>
          <w:rFonts w:ascii="CorpoS" w:hAnsi="CorpoS"/>
          <w:sz w:val="22"/>
          <w:szCs w:val="22"/>
          <w:lang w:val="de-DE"/>
        </w:rPr>
        <w:t>. „</w:t>
      </w:r>
      <w:r w:rsidR="00936208" w:rsidRPr="00686E41">
        <w:rPr>
          <w:rFonts w:ascii="CorpoS" w:hAnsi="CorpoS"/>
          <w:sz w:val="22"/>
          <w:szCs w:val="22"/>
          <w:lang w:val="de-DE"/>
        </w:rPr>
        <w:t xml:space="preserve">Das Jahr 2019 </w:t>
      </w:r>
      <w:r w:rsidR="004044B7">
        <w:rPr>
          <w:rFonts w:ascii="CorpoS" w:hAnsi="CorpoS"/>
          <w:sz w:val="22"/>
          <w:szCs w:val="22"/>
          <w:lang w:val="de-DE"/>
        </w:rPr>
        <w:t xml:space="preserve">dürfte </w:t>
      </w:r>
      <w:r w:rsidR="00936208" w:rsidRPr="00686E41">
        <w:rPr>
          <w:rFonts w:ascii="CorpoS" w:hAnsi="CorpoS"/>
          <w:sz w:val="22"/>
          <w:szCs w:val="22"/>
          <w:lang w:val="de-DE"/>
        </w:rPr>
        <w:t xml:space="preserve">ein weiteres Rekordjahr für die MTU werden. Wir setzen </w:t>
      </w:r>
      <w:r w:rsidR="004044B7">
        <w:rPr>
          <w:rFonts w:ascii="CorpoS" w:hAnsi="CorpoS"/>
          <w:sz w:val="22"/>
          <w:szCs w:val="22"/>
          <w:lang w:val="de-DE"/>
        </w:rPr>
        <w:t xml:space="preserve">damit </w:t>
      </w:r>
      <w:r w:rsidR="00936208" w:rsidRPr="00686E41">
        <w:rPr>
          <w:rFonts w:ascii="CorpoS" w:hAnsi="CorpoS"/>
          <w:sz w:val="22"/>
          <w:szCs w:val="22"/>
          <w:lang w:val="de-DE"/>
        </w:rPr>
        <w:t>unsere langfristig positive Unternehmensentwicklung fort, die im abgelaufenen Quartal mit dem Einzug der MTU in den DAX belohnt wurde.“</w:t>
      </w:r>
    </w:p>
    <w:p w:rsidR="00660E21" w:rsidRPr="004803BB" w:rsidRDefault="00660E21" w:rsidP="007600C0">
      <w:pPr>
        <w:tabs>
          <w:tab w:val="left" w:pos="7655"/>
          <w:tab w:val="left" w:pos="9072"/>
        </w:tabs>
        <w:spacing w:line="300" w:lineRule="exact"/>
        <w:ind w:right="283"/>
        <w:jc w:val="both"/>
        <w:rPr>
          <w:rFonts w:ascii="CorpoS" w:eastAsia="SimSun" w:hAnsi="CorpoS"/>
          <w:sz w:val="22"/>
          <w:szCs w:val="22"/>
          <w:lang w:val="de-DE" w:eastAsia="zh-CN"/>
        </w:rPr>
      </w:pPr>
    </w:p>
    <w:p w:rsidR="007674A9" w:rsidRDefault="00F57E3F" w:rsidP="00C51A14">
      <w:pPr>
        <w:spacing w:line="300" w:lineRule="exact"/>
        <w:ind w:right="283"/>
        <w:jc w:val="both"/>
        <w:rPr>
          <w:rFonts w:ascii="CorpoS" w:hAnsi="CorpoS"/>
          <w:sz w:val="22"/>
          <w:szCs w:val="22"/>
          <w:lang w:val="de-DE"/>
        </w:rPr>
      </w:pPr>
      <w:r w:rsidRPr="004803BB">
        <w:rPr>
          <w:rFonts w:ascii="CorpoS" w:hAnsi="CorpoS"/>
          <w:sz w:val="22"/>
          <w:szCs w:val="22"/>
          <w:lang w:val="de-DE"/>
        </w:rPr>
        <w:t xml:space="preserve">In den ersten neun Monaten </w:t>
      </w:r>
      <w:r w:rsidR="004803BB" w:rsidRPr="004803BB">
        <w:rPr>
          <w:rFonts w:ascii="CorpoS" w:hAnsi="CorpoS"/>
          <w:sz w:val="22"/>
          <w:szCs w:val="22"/>
          <w:lang w:val="de-DE"/>
        </w:rPr>
        <w:t xml:space="preserve">2019 hat die MTU im </w:t>
      </w:r>
      <w:r w:rsidR="00D2784C" w:rsidRPr="004803BB">
        <w:rPr>
          <w:rFonts w:ascii="CorpoS" w:hAnsi="CorpoS"/>
          <w:sz w:val="22"/>
          <w:szCs w:val="22"/>
          <w:lang w:val="de-DE"/>
        </w:rPr>
        <w:t>zivile</w:t>
      </w:r>
      <w:r w:rsidR="004803BB" w:rsidRPr="004803BB">
        <w:rPr>
          <w:rFonts w:ascii="CorpoS" w:hAnsi="CorpoS"/>
          <w:sz w:val="22"/>
          <w:szCs w:val="22"/>
          <w:lang w:val="de-DE"/>
        </w:rPr>
        <w:t>n</w:t>
      </w:r>
      <w:r w:rsidR="00D2784C" w:rsidRPr="004803BB">
        <w:rPr>
          <w:rFonts w:ascii="CorpoS" w:hAnsi="CorpoS"/>
          <w:sz w:val="22"/>
          <w:szCs w:val="22"/>
          <w:lang w:val="de-DE"/>
        </w:rPr>
        <w:t xml:space="preserve"> Triebwerksgeschäft </w:t>
      </w:r>
      <w:r w:rsidR="004803BB" w:rsidRPr="004803BB">
        <w:rPr>
          <w:rFonts w:ascii="CorpoS" w:hAnsi="CorpoS"/>
          <w:sz w:val="22"/>
          <w:szCs w:val="22"/>
          <w:lang w:val="de-DE"/>
        </w:rPr>
        <w:t xml:space="preserve">das höchste Umsatzplus erzielt: </w:t>
      </w:r>
      <w:r w:rsidR="00096329" w:rsidRPr="004803BB">
        <w:rPr>
          <w:rFonts w:ascii="CorpoS" w:hAnsi="CorpoS"/>
          <w:sz w:val="22"/>
          <w:szCs w:val="22"/>
          <w:lang w:val="de-DE"/>
        </w:rPr>
        <w:t>H</w:t>
      </w:r>
      <w:r w:rsidR="00290B6D" w:rsidRPr="004803BB">
        <w:rPr>
          <w:rFonts w:ascii="CorpoS" w:hAnsi="CorpoS"/>
          <w:sz w:val="22"/>
          <w:szCs w:val="22"/>
          <w:lang w:val="de-DE"/>
        </w:rPr>
        <w:t xml:space="preserve">ier </w:t>
      </w:r>
      <w:r w:rsidR="004803BB">
        <w:rPr>
          <w:rFonts w:ascii="CorpoS" w:hAnsi="CorpoS"/>
          <w:sz w:val="22"/>
          <w:szCs w:val="22"/>
          <w:lang w:val="de-DE"/>
        </w:rPr>
        <w:t>ist</w:t>
      </w:r>
      <w:r w:rsidR="00096329" w:rsidRPr="004803BB">
        <w:rPr>
          <w:rFonts w:ascii="CorpoS" w:hAnsi="CorpoS"/>
          <w:sz w:val="22"/>
          <w:szCs w:val="22"/>
          <w:lang w:val="de-DE"/>
        </w:rPr>
        <w:t xml:space="preserve"> </w:t>
      </w:r>
      <w:r w:rsidR="00290B6D" w:rsidRPr="004803BB">
        <w:rPr>
          <w:rFonts w:ascii="CorpoS" w:hAnsi="CorpoS"/>
          <w:sz w:val="22"/>
          <w:szCs w:val="22"/>
          <w:lang w:val="de-DE"/>
        </w:rPr>
        <w:t>der Umsatz</w:t>
      </w:r>
      <w:r w:rsidR="004803BB" w:rsidRPr="004803BB">
        <w:rPr>
          <w:rFonts w:ascii="CorpoS" w:hAnsi="CorpoS"/>
          <w:sz w:val="22"/>
          <w:szCs w:val="22"/>
          <w:lang w:val="de-DE"/>
        </w:rPr>
        <w:t xml:space="preserve"> um 10 %</w:t>
      </w:r>
      <w:r w:rsidR="00290B6D" w:rsidRPr="004803BB">
        <w:rPr>
          <w:rFonts w:ascii="CorpoS" w:hAnsi="CorpoS"/>
          <w:sz w:val="22"/>
          <w:szCs w:val="22"/>
          <w:lang w:val="de-DE"/>
        </w:rPr>
        <w:t xml:space="preserve"> </w:t>
      </w:r>
      <w:r w:rsidR="00D2784C" w:rsidRPr="004803BB">
        <w:rPr>
          <w:rFonts w:ascii="CorpoS" w:hAnsi="CorpoS"/>
          <w:sz w:val="22"/>
          <w:szCs w:val="22"/>
          <w:lang w:val="de-DE"/>
        </w:rPr>
        <w:t>v</w:t>
      </w:r>
      <w:r w:rsidR="00096329" w:rsidRPr="004803BB">
        <w:rPr>
          <w:rFonts w:ascii="CorpoS" w:hAnsi="CorpoS"/>
          <w:sz w:val="22"/>
          <w:szCs w:val="22"/>
          <w:lang w:val="de-DE"/>
        </w:rPr>
        <w:t xml:space="preserve">on </w:t>
      </w:r>
      <w:r w:rsidR="004803BB" w:rsidRPr="004803BB">
        <w:rPr>
          <w:rFonts w:ascii="CorpoS" w:hAnsi="CorpoS"/>
          <w:sz w:val="22"/>
          <w:szCs w:val="22"/>
          <w:lang w:val="de-DE"/>
        </w:rPr>
        <w:t xml:space="preserve">1.037,0 Mio. € auf </w:t>
      </w:r>
      <w:r w:rsidR="00D2784C" w:rsidRPr="004803BB">
        <w:rPr>
          <w:rFonts w:ascii="CorpoS" w:hAnsi="CorpoS"/>
          <w:sz w:val="22"/>
          <w:szCs w:val="22"/>
          <w:lang w:val="de-DE"/>
        </w:rPr>
        <w:t>1.</w:t>
      </w:r>
      <w:r w:rsidR="004803BB" w:rsidRPr="004803BB">
        <w:rPr>
          <w:rFonts w:ascii="CorpoS" w:hAnsi="CorpoS"/>
          <w:sz w:val="22"/>
          <w:szCs w:val="22"/>
          <w:lang w:val="de-DE"/>
        </w:rPr>
        <w:t>137,8</w:t>
      </w:r>
      <w:r w:rsidR="00096329" w:rsidRPr="004803BB">
        <w:rPr>
          <w:rFonts w:ascii="CorpoS" w:hAnsi="CorpoS"/>
          <w:sz w:val="22"/>
          <w:szCs w:val="22"/>
          <w:lang w:val="de-DE"/>
        </w:rPr>
        <w:t xml:space="preserve"> Mio. €</w:t>
      </w:r>
      <w:r w:rsidR="004803BB">
        <w:rPr>
          <w:rFonts w:ascii="CorpoS" w:hAnsi="CorpoS"/>
          <w:sz w:val="22"/>
          <w:szCs w:val="22"/>
          <w:lang w:val="de-DE"/>
        </w:rPr>
        <w:t xml:space="preserve"> gestiegen</w:t>
      </w:r>
      <w:r w:rsidR="00096329" w:rsidRPr="004803BB">
        <w:rPr>
          <w:rFonts w:ascii="CorpoS" w:hAnsi="CorpoS"/>
          <w:sz w:val="22"/>
          <w:szCs w:val="22"/>
          <w:lang w:val="de-DE"/>
        </w:rPr>
        <w:t>.</w:t>
      </w:r>
      <w:r w:rsidR="0065120E" w:rsidRPr="004803BB">
        <w:rPr>
          <w:rFonts w:ascii="CorpoS" w:hAnsi="CorpoS"/>
          <w:sz w:val="22"/>
          <w:szCs w:val="22"/>
          <w:lang w:val="de-DE"/>
        </w:rPr>
        <w:t xml:space="preserve"> </w:t>
      </w:r>
      <w:r w:rsidR="007674A9" w:rsidRPr="004803BB">
        <w:rPr>
          <w:rFonts w:ascii="CorpoS" w:hAnsi="CorpoS"/>
          <w:sz w:val="22"/>
          <w:szCs w:val="22"/>
          <w:lang w:val="de-DE"/>
        </w:rPr>
        <w:t xml:space="preserve">Die </w:t>
      </w:r>
      <w:r w:rsidR="00BB03F9">
        <w:rPr>
          <w:rFonts w:ascii="CorpoS" w:hAnsi="CorpoS"/>
          <w:sz w:val="22"/>
          <w:szCs w:val="22"/>
          <w:lang w:val="de-DE"/>
        </w:rPr>
        <w:t>Hauptumsatzträger</w:t>
      </w:r>
      <w:r w:rsidR="007674A9" w:rsidRPr="004803BB">
        <w:rPr>
          <w:rFonts w:ascii="CorpoS" w:hAnsi="CorpoS"/>
          <w:sz w:val="22"/>
          <w:szCs w:val="22"/>
          <w:lang w:val="de-DE"/>
        </w:rPr>
        <w:t xml:space="preserve"> waren </w:t>
      </w:r>
      <w:r w:rsidR="008A687C" w:rsidRPr="004803BB">
        <w:rPr>
          <w:rFonts w:ascii="CorpoS" w:hAnsi="CorpoS"/>
          <w:sz w:val="22"/>
          <w:szCs w:val="22"/>
          <w:lang w:val="de-DE"/>
        </w:rPr>
        <w:t>das V2500 für die klassische A320-Familie und das PW1100G-JM für die A320neo sowie</w:t>
      </w:r>
      <w:r w:rsidR="007674A9" w:rsidRPr="004803BB">
        <w:rPr>
          <w:rFonts w:ascii="CorpoS" w:hAnsi="CorpoS"/>
          <w:sz w:val="22"/>
          <w:szCs w:val="22"/>
          <w:lang w:val="de-DE"/>
        </w:rPr>
        <w:t xml:space="preserve"> </w:t>
      </w:r>
      <w:r w:rsidR="008A687C" w:rsidRPr="004803BB">
        <w:rPr>
          <w:rFonts w:ascii="CorpoS" w:hAnsi="CorpoS"/>
          <w:sz w:val="22"/>
          <w:szCs w:val="22"/>
          <w:lang w:val="de-DE"/>
        </w:rPr>
        <w:t xml:space="preserve">das </w:t>
      </w:r>
      <w:proofErr w:type="spellStart"/>
      <w:r w:rsidR="007674A9" w:rsidRPr="004803BB">
        <w:rPr>
          <w:rFonts w:ascii="CorpoS" w:hAnsi="CorpoS"/>
          <w:sz w:val="22"/>
          <w:szCs w:val="22"/>
          <w:lang w:val="de-DE"/>
        </w:rPr>
        <w:t>GEnx</w:t>
      </w:r>
      <w:proofErr w:type="spellEnd"/>
      <w:r w:rsidR="008A687C" w:rsidRPr="004803BB">
        <w:rPr>
          <w:rFonts w:ascii="CorpoS" w:hAnsi="CorpoS"/>
          <w:sz w:val="22"/>
          <w:szCs w:val="22"/>
          <w:lang w:val="de-DE"/>
        </w:rPr>
        <w:t xml:space="preserve">, das in den </w:t>
      </w:r>
      <w:r w:rsidR="007674A9" w:rsidRPr="004803BB">
        <w:rPr>
          <w:rFonts w:ascii="CorpoS" w:hAnsi="CorpoS"/>
          <w:sz w:val="22"/>
          <w:szCs w:val="22"/>
          <w:lang w:val="de-DE"/>
        </w:rPr>
        <w:t>Boeing-Modelle</w:t>
      </w:r>
      <w:r w:rsidR="008A687C" w:rsidRPr="004803BB">
        <w:rPr>
          <w:rFonts w:ascii="CorpoS" w:hAnsi="CorpoS"/>
          <w:sz w:val="22"/>
          <w:szCs w:val="22"/>
          <w:lang w:val="de-DE"/>
        </w:rPr>
        <w:t>n</w:t>
      </w:r>
      <w:r w:rsidR="007674A9" w:rsidRPr="004803BB">
        <w:rPr>
          <w:rFonts w:ascii="CorpoS" w:hAnsi="CorpoS"/>
          <w:sz w:val="22"/>
          <w:szCs w:val="22"/>
          <w:lang w:val="de-DE"/>
        </w:rPr>
        <w:t xml:space="preserve"> 787 und 747-8</w:t>
      </w:r>
      <w:r w:rsidR="008A687C" w:rsidRPr="004803BB">
        <w:rPr>
          <w:rFonts w:ascii="CorpoS" w:hAnsi="CorpoS"/>
          <w:sz w:val="22"/>
          <w:szCs w:val="22"/>
          <w:lang w:val="de-DE"/>
        </w:rPr>
        <w:t xml:space="preserve"> zum Einsatz kommt</w:t>
      </w:r>
      <w:r w:rsidR="007674A9" w:rsidRPr="004803BB">
        <w:rPr>
          <w:rFonts w:ascii="CorpoS" w:hAnsi="CorpoS"/>
          <w:sz w:val="22"/>
          <w:szCs w:val="22"/>
          <w:lang w:val="de-DE"/>
        </w:rPr>
        <w:t>.</w:t>
      </w:r>
    </w:p>
    <w:p w:rsidR="009465EC" w:rsidRDefault="009465EC" w:rsidP="00C51A14">
      <w:pPr>
        <w:spacing w:line="300" w:lineRule="exact"/>
        <w:ind w:right="283"/>
        <w:jc w:val="both"/>
        <w:rPr>
          <w:rFonts w:ascii="CorpoS" w:hAnsi="CorpoS"/>
          <w:sz w:val="22"/>
          <w:szCs w:val="22"/>
          <w:lang w:val="de-DE"/>
        </w:rPr>
      </w:pPr>
    </w:p>
    <w:p w:rsidR="009465EC" w:rsidRPr="0075630D" w:rsidRDefault="009465EC" w:rsidP="009465EC">
      <w:pPr>
        <w:spacing w:line="300" w:lineRule="exact"/>
        <w:ind w:right="283"/>
        <w:jc w:val="both"/>
        <w:rPr>
          <w:rFonts w:ascii="CorpoS" w:hAnsi="CorpoS"/>
          <w:sz w:val="22"/>
          <w:szCs w:val="22"/>
          <w:lang w:val="de-DE"/>
        </w:rPr>
      </w:pPr>
      <w:r w:rsidRPr="004803BB">
        <w:rPr>
          <w:rFonts w:ascii="CorpoS" w:hAnsi="CorpoS"/>
          <w:sz w:val="22"/>
          <w:szCs w:val="22"/>
          <w:lang w:val="de-DE"/>
        </w:rPr>
        <w:t xml:space="preserve">Im militärischen Triebwerksgeschäft hat der Umsatz um 7 % auf 323,6 Mio. € zugenommen (1-9/2018: 303,1 Mio. €). </w:t>
      </w:r>
      <w:r w:rsidR="00BB03F9">
        <w:rPr>
          <w:rFonts w:ascii="CorpoS" w:hAnsi="CorpoS"/>
          <w:sz w:val="22"/>
          <w:szCs w:val="22"/>
          <w:lang w:val="de-DE"/>
        </w:rPr>
        <w:t>Wichtigster U</w:t>
      </w:r>
      <w:r w:rsidRPr="004803BB">
        <w:rPr>
          <w:rFonts w:ascii="CorpoS" w:hAnsi="CorpoS"/>
          <w:sz w:val="22"/>
          <w:szCs w:val="22"/>
          <w:lang w:val="de-DE"/>
        </w:rPr>
        <w:t>msatzträger war das Eurofighter-Triebwerk EJ200.</w:t>
      </w:r>
    </w:p>
    <w:p w:rsidR="007674A9" w:rsidRPr="004803BB" w:rsidRDefault="007674A9" w:rsidP="00C51A14">
      <w:pPr>
        <w:spacing w:line="300" w:lineRule="exact"/>
        <w:ind w:right="283"/>
        <w:jc w:val="both"/>
        <w:rPr>
          <w:rFonts w:ascii="CorpoS" w:hAnsi="CorpoS"/>
          <w:sz w:val="22"/>
          <w:szCs w:val="22"/>
          <w:lang w:val="de-DE"/>
        </w:rPr>
      </w:pPr>
    </w:p>
    <w:p w:rsidR="007674A9" w:rsidRPr="005C6330" w:rsidRDefault="009465EC" w:rsidP="007674A9">
      <w:pPr>
        <w:spacing w:line="300" w:lineRule="exact"/>
        <w:ind w:right="283"/>
        <w:jc w:val="both"/>
        <w:rPr>
          <w:rFonts w:ascii="CorpoS" w:hAnsi="CorpoS"/>
          <w:sz w:val="22"/>
          <w:szCs w:val="22"/>
          <w:lang w:val="de-DE"/>
        </w:rPr>
      </w:pPr>
      <w:r w:rsidRPr="009465EC">
        <w:rPr>
          <w:rFonts w:ascii="CorpoS" w:hAnsi="CorpoS"/>
          <w:sz w:val="22"/>
          <w:szCs w:val="22"/>
          <w:lang w:val="de-DE"/>
        </w:rPr>
        <w:t xml:space="preserve">Der Umsatz der </w:t>
      </w:r>
      <w:r w:rsidR="007674A9" w:rsidRPr="009465EC">
        <w:rPr>
          <w:rFonts w:ascii="CorpoS" w:hAnsi="CorpoS"/>
          <w:sz w:val="22"/>
          <w:szCs w:val="22"/>
          <w:lang w:val="de-DE"/>
        </w:rPr>
        <w:t xml:space="preserve">zivilen Instandhaltung </w:t>
      </w:r>
      <w:r w:rsidRPr="009465EC">
        <w:rPr>
          <w:rFonts w:ascii="CorpoS" w:hAnsi="CorpoS"/>
          <w:sz w:val="22"/>
          <w:szCs w:val="22"/>
          <w:lang w:val="de-DE"/>
        </w:rPr>
        <w:t xml:space="preserve">lag in den ersten neun Monaten 2019 mit 1.995,9 Mio. € auf Vorjahresniveau (1-9/2018: 2.019,7 Mio. €). </w:t>
      </w:r>
      <w:r w:rsidR="00DA738B">
        <w:rPr>
          <w:rFonts w:ascii="CorpoS" w:hAnsi="CorpoS"/>
          <w:sz w:val="22"/>
          <w:szCs w:val="22"/>
          <w:lang w:val="de-DE"/>
        </w:rPr>
        <w:t xml:space="preserve">„Organisch ist der Umsatz der zivilen MRO um rund 8 % gestiegen“, ergänzte Finanzvorstand Peter </w:t>
      </w:r>
      <w:proofErr w:type="spellStart"/>
      <w:r w:rsidR="00DA738B">
        <w:rPr>
          <w:rFonts w:ascii="CorpoS" w:hAnsi="CorpoS"/>
          <w:sz w:val="22"/>
          <w:szCs w:val="22"/>
          <w:lang w:val="de-DE"/>
        </w:rPr>
        <w:t>Kameritsch</w:t>
      </w:r>
      <w:proofErr w:type="spellEnd"/>
      <w:r w:rsidR="00DA738B">
        <w:rPr>
          <w:rFonts w:ascii="CorpoS" w:hAnsi="CorpoS"/>
          <w:sz w:val="22"/>
          <w:szCs w:val="22"/>
          <w:lang w:val="de-DE"/>
        </w:rPr>
        <w:t>.</w:t>
      </w:r>
      <w:r w:rsidR="00CB55D3">
        <w:rPr>
          <w:rFonts w:ascii="CorpoS" w:hAnsi="CorpoS"/>
          <w:sz w:val="22"/>
          <w:szCs w:val="22"/>
          <w:lang w:val="de-DE"/>
        </w:rPr>
        <w:t xml:space="preserve"> </w:t>
      </w:r>
      <w:r w:rsidR="007C68D3" w:rsidRPr="00F45826">
        <w:rPr>
          <w:rFonts w:ascii="CorpoS" w:hAnsi="CorpoS"/>
          <w:sz w:val="22"/>
          <w:szCs w:val="22"/>
          <w:lang w:val="de-DE"/>
        </w:rPr>
        <w:t>Die höchsten Umsatzanteile entfielen auf das V2500 und den Geschäftsreise- und Regionalflugzeugantrieb CF34</w:t>
      </w:r>
      <w:r w:rsidR="005C6330">
        <w:rPr>
          <w:rFonts w:ascii="CorpoS" w:hAnsi="CorpoS"/>
          <w:sz w:val="22"/>
          <w:szCs w:val="22"/>
          <w:lang w:val="de-DE"/>
        </w:rPr>
        <w:t>.</w:t>
      </w:r>
    </w:p>
    <w:p w:rsidR="008064CE" w:rsidRPr="004803BB" w:rsidRDefault="008064CE" w:rsidP="00C51A14">
      <w:pPr>
        <w:spacing w:line="300" w:lineRule="exact"/>
        <w:ind w:right="283"/>
        <w:jc w:val="both"/>
        <w:rPr>
          <w:rFonts w:ascii="CorpoS" w:hAnsi="CorpoS"/>
          <w:sz w:val="22"/>
          <w:szCs w:val="22"/>
          <w:lang w:val="de-DE"/>
        </w:rPr>
      </w:pPr>
    </w:p>
    <w:p w:rsidR="00C51A14" w:rsidRPr="003E612B" w:rsidRDefault="00191C2E" w:rsidP="00C51A14">
      <w:pPr>
        <w:tabs>
          <w:tab w:val="left" w:pos="7655"/>
          <w:tab w:val="left" w:pos="9072"/>
        </w:tabs>
        <w:spacing w:line="300" w:lineRule="exact"/>
        <w:ind w:right="283"/>
        <w:jc w:val="both"/>
        <w:rPr>
          <w:rFonts w:ascii="CorpoS" w:hAnsi="CorpoS"/>
          <w:sz w:val="22"/>
          <w:szCs w:val="22"/>
          <w:lang w:val="de-DE"/>
        </w:rPr>
      </w:pPr>
      <w:r w:rsidRPr="003E612B">
        <w:rPr>
          <w:rFonts w:ascii="CorpoS" w:hAnsi="CorpoS"/>
          <w:sz w:val="22"/>
          <w:szCs w:val="22"/>
          <w:lang w:val="de-DE"/>
        </w:rPr>
        <w:t xml:space="preserve">Der Auftragsbestand </w:t>
      </w:r>
      <w:r w:rsidR="00F52D93" w:rsidRPr="003E612B">
        <w:rPr>
          <w:rFonts w:ascii="CorpoS" w:hAnsi="CorpoS"/>
          <w:sz w:val="22"/>
          <w:szCs w:val="22"/>
          <w:lang w:val="de-DE"/>
        </w:rPr>
        <w:t xml:space="preserve">erreichte am Quartalsende </w:t>
      </w:r>
      <w:r w:rsidR="006E26F8" w:rsidRPr="003E612B">
        <w:rPr>
          <w:rFonts w:ascii="CorpoS" w:hAnsi="CorpoS"/>
          <w:sz w:val="22"/>
          <w:szCs w:val="22"/>
          <w:lang w:val="de-DE"/>
        </w:rPr>
        <w:t>20,8 Mrd. € (31.12.2018: 17,6 Mrd. €). „Das ist erneut ein Rekordwert</w:t>
      </w:r>
      <w:r w:rsidR="003116B4">
        <w:rPr>
          <w:rFonts w:ascii="CorpoS" w:hAnsi="CorpoS"/>
          <w:sz w:val="22"/>
          <w:szCs w:val="22"/>
          <w:lang w:val="de-DE"/>
        </w:rPr>
        <w:t xml:space="preserve"> und ein Beleg für die</w:t>
      </w:r>
      <w:r w:rsidR="006E26F8" w:rsidRPr="003E612B">
        <w:rPr>
          <w:rFonts w:ascii="CorpoS" w:hAnsi="CorpoS"/>
          <w:sz w:val="22"/>
          <w:szCs w:val="22"/>
          <w:lang w:val="de-DE"/>
        </w:rPr>
        <w:t xml:space="preserve"> </w:t>
      </w:r>
      <w:r w:rsidR="003E612B" w:rsidRPr="003E612B">
        <w:rPr>
          <w:rFonts w:ascii="CorpoS" w:hAnsi="CorpoS"/>
          <w:sz w:val="22"/>
          <w:szCs w:val="22"/>
          <w:lang w:val="de-DE"/>
        </w:rPr>
        <w:t xml:space="preserve">guten Perspektiven </w:t>
      </w:r>
      <w:r w:rsidR="003116B4">
        <w:rPr>
          <w:rFonts w:ascii="CorpoS" w:hAnsi="CorpoS"/>
          <w:sz w:val="22"/>
          <w:szCs w:val="22"/>
          <w:lang w:val="de-DE"/>
        </w:rPr>
        <w:t>der</w:t>
      </w:r>
      <w:r w:rsidR="003E612B" w:rsidRPr="003E612B">
        <w:rPr>
          <w:rFonts w:ascii="CorpoS" w:hAnsi="CorpoS"/>
          <w:sz w:val="22"/>
          <w:szCs w:val="22"/>
          <w:lang w:val="de-DE"/>
        </w:rPr>
        <w:t xml:space="preserve"> MTU“, </w:t>
      </w:r>
      <w:r w:rsidR="005E128F">
        <w:rPr>
          <w:rFonts w:ascii="CorpoS" w:hAnsi="CorpoS"/>
          <w:sz w:val="22"/>
          <w:szCs w:val="22"/>
          <w:lang w:val="de-DE"/>
        </w:rPr>
        <w:t>s</w:t>
      </w:r>
      <w:r w:rsidR="009A5275">
        <w:rPr>
          <w:rFonts w:ascii="CorpoS" w:hAnsi="CorpoS"/>
          <w:sz w:val="22"/>
          <w:szCs w:val="22"/>
          <w:lang w:val="de-DE"/>
        </w:rPr>
        <w:t>o</w:t>
      </w:r>
      <w:r w:rsidR="003E612B" w:rsidRPr="003E612B">
        <w:rPr>
          <w:rFonts w:ascii="CorpoS" w:hAnsi="CorpoS"/>
          <w:sz w:val="22"/>
          <w:szCs w:val="22"/>
          <w:lang w:val="de-DE"/>
        </w:rPr>
        <w:t xml:space="preserve"> </w:t>
      </w:r>
      <w:proofErr w:type="spellStart"/>
      <w:r w:rsidR="003E612B" w:rsidRPr="003E612B">
        <w:rPr>
          <w:rFonts w:ascii="CorpoS" w:hAnsi="CorpoS"/>
          <w:sz w:val="22"/>
          <w:szCs w:val="22"/>
          <w:lang w:val="de-DE"/>
        </w:rPr>
        <w:t>Kameritsch</w:t>
      </w:r>
      <w:proofErr w:type="spellEnd"/>
      <w:r w:rsidR="003E612B" w:rsidRPr="003E612B">
        <w:rPr>
          <w:rFonts w:ascii="CorpoS" w:hAnsi="CorpoS"/>
          <w:sz w:val="22"/>
          <w:szCs w:val="22"/>
          <w:lang w:val="de-DE"/>
        </w:rPr>
        <w:t xml:space="preserve">. „Rein rechnerisch entspricht der Auftragsbestand einer Auslastung von </w:t>
      </w:r>
      <w:r w:rsidR="003E612B">
        <w:rPr>
          <w:rFonts w:ascii="CorpoS" w:hAnsi="CorpoS"/>
          <w:sz w:val="22"/>
          <w:szCs w:val="22"/>
          <w:lang w:val="de-DE"/>
        </w:rPr>
        <w:t>mehr als</w:t>
      </w:r>
      <w:r w:rsidR="003E612B" w:rsidRPr="003E612B">
        <w:rPr>
          <w:rFonts w:ascii="CorpoS" w:hAnsi="CorpoS"/>
          <w:sz w:val="22"/>
          <w:szCs w:val="22"/>
          <w:lang w:val="de-DE"/>
        </w:rPr>
        <w:t xml:space="preserve"> vier Jahren.“ </w:t>
      </w:r>
      <w:r w:rsidRPr="003E612B">
        <w:rPr>
          <w:rFonts w:ascii="CorpoS" w:hAnsi="CorpoS"/>
          <w:sz w:val="22"/>
          <w:szCs w:val="22"/>
          <w:lang w:val="de-DE"/>
        </w:rPr>
        <w:t>D</w:t>
      </w:r>
      <w:r w:rsidR="003E612B" w:rsidRPr="003E612B">
        <w:rPr>
          <w:rFonts w:ascii="CorpoS" w:hAnsi="CorpoS"/>
          <w:sz w:val="22"/>
          <w:szCs w:val="22"/>
          <w:lang w:val="de-DE"/>
        </w:rPr>
        <w:t>as Gros der</w:t>
      </w:r>
      <w:r w:rsidRPr="003E612B">
        <w:rPr>
          <w:rFonts w:ascii="CorpoS" w:hAnsi="CorpoS"/>
          <w:sz w:val="22"/>
          <w:szCs w:val="22"/>
          <w:lang w:val="de-DE"/>
        </w:rPr>
        <w:t xml:space="preserve"> Aufträge entfiel auf das </w:t>
      </w:r>
      <w:r w:rsidR="00C51A14" w:rsidRPr="003E612B">
        <w:rPr>
          <w:rFonts w:ascii="CorpoS" w:hAnsi="CorpoS"/>
          <w:sz w:val="22"/>
          <w:szCs w:val="22"/>
          <w:lang w:val="de-DE"/>
        </w:rPr>
        <w:t>V2500 und die Getriebefan</w:t>
      </w:r>
      <w:r w:rsidR="00CF0603" w:rsidRPr="003E612B">
        <w:rPr>
          <w:rFonts w:ascii="CorpoS" w:hAnsi="CorpoS"/>
          <w:sz w:val="22"/>
          <w:szCs w:val="22"/>
          <w:lang w:val="de-DE"/>
        </w:rPr>
        <w:t>-Triebwerke der PW1000G-Familie</w:t>
      </w:r>
      <w:r w:rsidR="000A22E2" w:rsidRPr="003E612B">
        <w:rPr>
          <w:rFonts w:ascii="CorpoS" w:hAnsi="CorpoS"/>
          <w:sz w:val="22"/>
          <w:szCs w:val="22"/>
          <w:lang w:val="de-DE"/>
        </w:rPr>
        <w:t>,</w:t>
      </w:r>
      <w:r w:rsidR="00C51A14" w:rsidRPr="003E612B">
        <w:rPr>
          <w:rFonts w:ascii="CorpoS" w:hAnsi="CorpoS"/>
          <w:sz w:val="22"/>
          <w:szCs w:val="22"/>
          <w:lang w:val="de-DE"/>
        </w:rPr>
        <w:t xml:space="preserve"> </w:t>
      </w:r>
      <w:r w:rsidR="003E612B" w:rsidRPr="003E612B">
        <w:rPr>
          <w:rFonts w:ascii="CorpoS" w:hAnsi="CorpoS"/>
          <w:sz w:val="22"/>
          <w:szCs w:val="22"/>
          <w:lang w:val="de-DE"/>
        </w:rPr>
        <w:t>insbesondere</w:t>
      </w:r>
      <w:r w:rsidRPr="003E612B">
        <w:rPr>
          <w:rFonts w:ascii="CorpoS" w:hAnsi="CorpoS"/>
          <w:sz w:val="22"/>
          <w:szCs w:val="22"/>
          <w:lang w:val="de-DE"/>
        </w:rPr>
        <w:t xml:space="preserve"> das PW1100G-JM für die A320neo. </w:t>
      </w:r>
    </w:p>
    <w:p w:rsidR="00C51A14" w:rsidRPr="003E612B"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B95116" w:rsidRDefault="00B95116" w:rsidP="00C51A14">
      <w:pPr>
        <w:tabs>
          <w:tab w:val="left" w:pos="7655"/>
          <w:tab w:val="left" w:pos="9072"/>
        </w:tabs>
        <w:spacing w:line="300" w:lineRule="exact"/>
        <w:ind w:right="283"/>
        <w:jc w:val="both"/>
        <w:rPr>
          <w:rFonts w:ascii="CorpoS" w:hAnsi="CorpoS"/>
          <w:sz w:val="22"/>
          <w:szCs w:val="22"/>
          <w:lang w:val="de-DE"/>
        </w:rPr>
      </w:pPr>
      <w:r w:rsidRPr="00895B9F">
        <w:rPr>
          <w:rFonts w:ascii="CorpoS" w:hAnsi="CorpoS"/>
          <w:sz w:val="22"/>
          <w:szCs w:val="22"/>
          <w:lang w:val="de-DE"/>
        </w:rPr>
        <w:t>Ihr</w:t>
      </w:r>
      <w:r w:rsidR="001D1846" w:rsidRPr="00895B9F">
        <w:rPr>
          <w:rFonts w:ascii="CorpoS" w:hAnsi="CorpoS"/>
          <w:sz w:val="22"/>
          <w:szCs w:val="22"/>
          <w:lang w:val="de-DE"/>
        </w:rPr>
        <w:t xml:space="preserve"> Ergebnis hat die MTU in den ersten neun Monaten</w:t>
      </w:r>
      <w:r w:rsidRPr="00895B9F">
        <w:rPr>
          <w:rFonts w:ascii="CorpoS" w:hAnsi="CorpoS"/>
          <w:sz w:val="22"/>
          <w:szCs w:val="22"/>
          <w:lang w:val="de-DE"/>
        </w:rPr>
        <w:t xml:space="preserve"> sowohl </w:t>
      </w:r>
      <w:r w:rsidR="00E16208" w:rsidRPr="00895B9F">
        <w:rPr>
          <w:rFonts w:ascii="CorpoS" w:hAnsi="CorpoS"/>
          <w:sz w:val="22"/>
          <w:szCs w:val="22"/>
          <w:lang w:val="de-DE"/>
        </w:rPr>
        <w:t xml:space="preserve">im OEM- </w:t>
      </w:r>
      <w:r w:rsidRPr="00895B9F">
        <w:rPr>
          <w:rFonts w:ascii="CorpoS" w:hAnsi="CorpoS"/>
          <w:sz w:val="22"/>
          <w:szCs w:val="22"/>
          <w:lang w:val="de-DE"/>
        </w:rPr>
        <w:t xml:space="preserve">als auch </w:t>
      </w:r>
      <w:r w:rsidR="00E16208" w:rsidRPr="00895B9F">
        <w:rPr>
          <w:rFonts w:ascii="CorpoS" w:hAnsi="CorpoS"/>
          <w:sz w:val="22"/>
          <w:szCs w:val="22"/>
          <w:lang w:val="de-DE"/>
        </w:rPr>
        <w:t xml:space="preserve">im MRO-Geschäft </w:t>
      </w:r>
      <w:r w:rsidRPr="00895B9F">
        <w:rPr>
          <w:rFonts w:ascii="CorpoS" w:hAnsi="CorpoS"/>
          <w:sz w:val="22"/>
          <w:szCs w:val="22"/>
          <w:lang w:val="de-DE"/>
        </w:rPr>
        <w:t>gesteigert</w:t>
      </w:r>
      <w:r w:rsidR="00E16208" w:rsidRPr="00895B9F">
        <w:rPr>
          <w:rFonts w:ascii="CorpoS" w:hAnsi="CorpoS"/>
          <w:sz w:val="22"/>
          <w:szCs w:val="22"/>
          <w:lang w:val="de-DE"/>
        </w:rPr>
        <w:t>:</w:t>
      </w:r>
      <w:r w:rsidR="001D1846" w:rsidRPr="00895B9F">
        <w:rPr>
          <w:rFonts w:ascii="CorpoS" w:hAnsi="CorpoS"/>
          <w:sz w:val="22"/>
          <w:szCs w:val="22"/>
          <w:lang w:val="de-DE"/>
        </w:rPr>
        <w:t xml:space="preserve"> </w:t>
      </w:r>
      <w:r w:rsidR="00895B9F">
        <w:rPr>
          <w:rFonts w:ascii="CorpoS" w:hAnsi="CorpoS"/>
          <w:sz w:val="22"/>
          <w:szCs w:val="22"/>
          <w:lang w:val="de-DE"/>
        </w:rPr>
        <w:t>Im OEM-</w:t>
      </w:r>
      <w:r w:rsidR="00895B9F" w:rsidRPr="00895B9F">
        <w:rPr>
          <w:rFonts w:ascii="CorpoS" w:hAnsi="CorpoS"/>
          <w:sz w:val="22"/>
          <w:szCs w:val="22"/>
          <w:lang w:val="de-DE"/>
        </w:rPr>
        <w:t xml:space="preserve">Geschäft ist das operative </w:t>
      </w:r>
      <w:r w:rsidR="001D1846" w:rsidRPr="00895B9F">
        <w:rPr>
          <w:rFonts w:ascii="CorpoS" w:hAnsi="CorpoS"/>
          <w:sz w:val="22"/>
          <w:szCs w:val="22"/>
          <w:lang w:val="de-DE"/>
        </w:rPr>
        <w:t xml:space="preserve">Ergebnis </w:t>
      </w:r>
      <w:r w:rsidR="00E16208" w:rsidRPr="00895B9F">
        <w:rPr>
          <w:rFonts w:ascii="CorpoS" w:hAnsi="CorpoS"/>
          <w:sz w:val="22"/>
          <w:szCs w:val="22"/>
          <w:lang w:val="de-DE"/>
        </w:rPr>
        <w:t xml:space="preserve">um </w:t>
      </w:r>
      <w:r w:rsidR="00895B9F" w:rsidRPr="00895B9F">
        <w:rPr>
          <w:rFonts w:ascii="CorpoS" w:hAnsi="CorpoS"/>
          <w:sz w:val="22"/>
          <w:szCs w:val="22"/>
          <w:lang w:val="de-DE"/>
        </w:rPr>
        <w:t>9</w:t>
      </w:r>
      <w:r w:rsidR="00E16208" w:rsidRPr="00895B9F">
        <w:rPr>
          <w:rFonts w:ascii="CorpoS" w:hAnsi="CorpoS"/>
          <w:sz w:val="22"/>
          <w:szCs w:val="22"/>
          <w:lang w:val="de-DE"/>
        </w:rPr>
        <w:t xml:space="preserve"> % auf 3</w:t>
      </w:r>
      <w:r w:rsidR="00895B9F" w:rsidRPr="00895B9F">
        <w:rPr>
          <w:rFonts w:ascii="CorpoS" w:hAnsi="CorpoS"/>
          <w:sz w:val="22"/>
          <w:szCs w:val="22"/>
          <w:lang w:val="de-DE"/>
        </w:rPr>
        <w:t>69,9</w:t>
      </w:r>
      <w:r w:rsidR="00E16208" w:rsidRPr="00895B9F">
        <w:rPr>
          <w:rFonts w:ascii="CorpoS" w:hAnsi="CorpoS"/>
          <w:sz w:val="22"/>
          <w:szCs w:val="22"/>
          <w:lang w:val="de-DE"/>
        </w:rPr>
        <w:t xml:space="preserve"> Mio. € </w:t>
      </w:r>
      <w:r w:rsidR="00895B9F" w:rsidRPr="00895B9F">
        <w:rPr>
          <w:rFonts w:ascii="CorpoS" w:hAnsi="CorpoS"/>
          <w:sz w:val="22"/>
          <w:szCs w:val="22"/>
          <w:lang w:val="de-DE"/>
        </w:rPr>
        <w:t>gestiegen</w:t>
      </w:r>
      <w:r w:rsidR="00E16208" w:rsidRPr="00895B9F">
        <w:rPr>
          <w:rFonts w:ascii="CorpoS" w:hAnsi="CorpoS"/>
          <w:sz w:val="22"/>
          <w:szCs w:val="22"/>
          <w:lang w:val="de-DE"/>
        </w:rPr>
        <w:t xml:space="preserve"> (1-9/201</w:t>
      </w:r>
      <w:r w:rsidR="00895B9F" w:rsidRPr="00895B9F">
        <w:rPr>
          <w:rFonts w:ascii="CorpoS" w:hAnsi="CorpoS"/>
          <w:sz w:val="22"/>
          <w:szCs w:val="22"/>
          <w:lang w:val="de-DE"/>
        </w:rPr>
        <w:t>8</w:t>
      </w:r>
      <w:r w:rsidR="00E16208" w:rsidRPr="00895B9F">
        <w:rPr>
          <w:rFonts w:ascii="CorpoS" w:hAnsi="CorpoS"/>
          <w:sz w:val="22"/>
          <w:szCs w:val="22"/>
          <w:lang w:val="de-DE"/>
        </w:rPr>
        <w:t xml:space="preserve">: </w:t>
      </w:r>
      <w:r w:rsidR="00895B9F" w:rsidRPr="00895B9F">
        <w:rPr>
          <w:rFonts w:ascii="CorpoS" w:hAnsi="CorpoS"/>
          <w:sz w:val="22"/>
          <w:szCs w:val="22"/>
          <w:lang w:val="de-DE"/>
        </w:rPr>
        <w:lastRenderedPageBreak/>
        <w:t>340,7</w:t>
      </w:r>
      <w:r w:rsidR="00E16208" w:rsidRPr="00895B9F">
        <w:rPr>
          <w:rFonts w:ascii="CorpoS" w:hAnsi="CorpoS"/>
          <w:sz w:val="22"/>
          <w:szCs w:val="22"/>
          <w:lang w:val="de-DE"/>
        </w:rPr>
        <w:t xml:space="preserve"> Mio. €). Die EBIT-Marge </w:t>
      </w:r>
      <w:r w:rsidR="00895B9F" w:rsidRPr="00895B9F">
        <w:rPr>
          <w:rFonts w:ascii="CorpoS" w:hAnsi="CorpoS"/>
          <w:sz w:val="22"/>
          <w:szCs w:val="22"/>
          <w:lang w:val="de-DE"/>
        </w:rPr>
        <w:t>lag mit 25,3 % auf dem Vorjahresniveau (1-9/2018: 25,4 %)</w:t>
      </w:r>
      <w:r w:rsidR="00E16208" w:rsidRPr="00895B9F">
        <w:rPr>
          <w:rFonts w:ascii="CorpoS" w:hAnsi="CorpoS"/>
          <w:sz w:val="22"/>
          <w:szCs w:val="22"/>
          <w:lang w:val="de-DE"/>
        </w:rPr>
        <w:t xml:space="preserve">. </w:t>
      </w:r>
      <w:r w:rsidRPr="00B95116">
        <w:rPr>
          <w:rFonts w:ascii="CorpoS" w:hAnsi="CorpoS"/>
          <w:sz w:val="22"/>
          <w:szCs w:val="22"/>
          <w:lang w:val="de-DE"/>
        </w:rPr>
        <w:t>In der zivilen Instandhaltung lag das Ergebnisplus bei 12 % auf 187,4 Mio. € (1-9/2018</w:t>
      </w:r>
      <w:r w:rsidR="00E16208" w:rsidRPr="00B95116">
        <w:rPr>
          <w:rFonts w:ascii="CorpoS" w:hAnsi="CorpoS"/>
          <w:sz w:val="22"/>
          <w:szCs w:val="22"/>
          <w:lang w:val="de-DE"/>
        </w:rPr>
        <w:t>: 1</w:t>
      </w:r>
      <w:r w:rsidRPr="00B95116">
        <w:rPr>
          <w:rFonts w:ascii="CorpoS" w:hAnsi="CorpoS"/>
          <w:sz w:val="22"/>
          <w:szCs w:val="22"/>
          <w:lang w:val="de-DE"/>
        </w:rPr>
        <w:t>67,9</w:t>
      </w:r>
      <w:r w:rsidR="00E16208" w:rsidRPr="00B95116">
        <w:rPr>
          <w:rFonts w:ascii="CorpoS" w:hAnsi="CorpoS"/>
          <w:sz w:val="22"/>
          <w:szCs w:val="22"/>
          <w:lang w:val="de-DE"/>
        </w:rPr>
        <w:t xml:space="preserve"> Mio. €)</w:t>
      </w:r>
      <w:r w:rsidRPr="00B95116">
        <w:rPr>
          <w:rFonts w:ascii="CorpoS" w:hAnsi="CorpoS"/>
          <w:sz w:val="22"/>
          <w:szCs w:val="22"/>
          <w:lang w:val="de-DE"/>
        </w:rPr>
        <w:t xml:space="preserve">. Die </w:t>
      </w:r>
      <w:r w:rsidR="00E16208" w:rsidRPr="00B95116">
        <w:rPr>
          <w:rFonts w:ascii="CorpoS" w:hAnsi="CorpoS"/>
          <w:sz w:val="22"/>
          <w:szCs w:val="22"/>
          <w:lang w:val="de-DE"/>
        </w:rPr>
        <w:t xml:space="preserve">Ergebnismarge </w:t>
      </w:r>
      <w:r w:rsidRPr="00B95116">
        <w:rPr>
          <w:rFonts w:ascii="CorpoS" w:hAnsi="CorpoS"/>
          <w:sz w:val="22"/>
          <w:szCs w:val="22"/>
          <w:lang w:val="de-DE"/>
        </w:rPr>
        <w:t xml:space="preserve">erreichte 9,4 % nach </w:t>
      </w:r>
      <w:r w:rsidR="00E16208" w:rsidRPr="00B95116">
        <w:rPr>
          <w:rFonts w:ascii="CorpoS" w:hAnsi="CorpoS"/>
          <w:sz w:val="22"/>
          <w:szCs w:val="22"/>
          <w:lang w:val="de-DE"/>
        </w:rPr>
        <w:t xml:space="preserve">8,3 % </w:t>
      </w:r>
      <w:r w:rsidRPr="00B95116">
        <w:rPr>
          <w:rFonts w:ascii="CorpoS" w:hAnsi="CorpoS"/>
          <w:sz w:val="22"/>
          <w:szCs w:val="22"/>
          <w:lang w:val="de-DE"/>
        </w:rPr>
        <w:t>i</w:t>
      </w:r>
      <w:r w:rsidR="006F42F4">
        <w:rPr>
          <w:rFonts w:ascii="CorpoS" w:hAnsi="CorpoS"/>
          <w:sz w:val="22"/>
          <w:szCs w:val="22"/>
          <w:lang w:val="de-DE"/>
        </w:rPr>
        <w:t>m gleichen Vorjahreszeitraum</w:t>
      </w:r>
      <w:r w:rsidRPr="00B95116">
        <w:rPr>
          <w:rFonts w:ascii="CorpoS" w:hAnsi="CorpoS"/>
          <w:sz w:val="22"/>
          <w:szCs w:val="22"/>
          <w:lang w:val="de-DE"/>
        </w:rPr>
        <w:t>.</w:t>
      </w:r>
    </w:p>
    <w:p w:rsidR="00C51A14" w:rsidRPr="00B95116"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A553FE" w:rsidRDefault="00E76A6F" w:rsidP="00C51A14">
      <w:pPr>
        <w:tabs>
          <w:tab w:val="left" w:pos="7655"/>
          <w:tab w:val="left" w:pos="7938"/>
        </w:tabs>
        <w:spacing w:line="300" w:lineRule="exact"/>
        <w:ind w:right="283"/>
        <w:jc w:val="both"/>
        <w:rPr>
          <w:rFonts w:ascii="CorpoS" w:hAnsi="CorpoS"/>
          <w:sz w:val="22"/>
          <w:szCs w:val="22"/>
          <w:lang w:val="de-DE"/>
        </w:rPr>
      </w:pPr>
      <w:r w:rsidRPr="00B95116">
        <w:rPr>
          <w:rFonts w:ascii="CorpoS" w:hAnsi="CorpoS"/>
          <w:sz w:val="22"/>
          <w:szCs w:val="22"/>
          <w:lang w:val="de-DE"/>
        </w:rPr>
        <w:t>In den ersten neun Monaten 201</w:t>
      </w:r>
      <w:r w:rsidR="00B95116" w:rsidRPr="00B95116">
        <w:rPr>
          <w:rFonts w:ascii="CorpoS" w:hAnsi="CorpoS"/>
          <w:sz w:val="22"/>
          <w:szCs w:val="22"/>
          <w:lang w:val="de-DE"/>
        </w:rPr>
        <w:t>9</w:t>
      </w:r>
      <w:r w:rsidRPr="00B95116">
        <w:rPr>
          <w:rFonts w:ascii="CorpoS" w:hAnsi="CorpoS"/>
          <w:sz w:val="22"/>
          <w:szCs w:val="22"/>
          <w:lang w:val="de-DE"/>
        </w:rPr>
        <w:t xml:space="preserve"> sind </w:t>
      </w:r>
      <w:r w:rsidR="00B95116" w:rsidRPr="00B95116">
        <w:rPr>
          <w:rFonts w:ascii="CorpoS" w:hAnsi="CorpoS"/>
          <w:sz w:val="22"/>
          <w:szCs w:val="22"/>
          <w:lang w:val="de-DE"/>
        </w:rPr>
        <w:t xml:space="preserve">166,7 Mio. € in </w:t>
      </w:r>
      <w:r w:rsidRPr="00B95116">
        <w:rPr>
          <w:rFonts w:ascii="CorpoS" w:hAnsi="CorpoS"/>
          <w:sz w:val="22"/>
          <w:szCs w:val="22"/>
          <w:lang w:val="de-DE"/>
        </w:rPr>
        <w:t>Forschung und Entwicklung geflossen</w:t>
      </w:r>
      <w:r w:rsidR="00B95116" w:rsidRPr="00B95116">
        <w:rPr>
          <w:rFonts w:ascii="CorpoS" w:hAnsi="CorpoS"/>
          <w:sz w:val="22"/>
          <w:szCs w:val="22"/>
          <w:lang w:val="de-DE"/>
        </w:rPr>
        <w:t>, 13 % mehr als im Vergleichszeitraum (1-9/2018</w:t>
      </w:r>
      <w:r w:rsidRPr="00B95116">
        <w:rPr>
          <w:rFonts w:ascii="CorpoS" w:hAnsi="CorpoS"/>
          <w:sz w:val="22"/>
          <w:szCs w:val="22"/>
          <w:lang w:val="de-DE"/>
        </w:rPr>
        <w:t>: 1</w:t>
      </w:r>
      <w:r w:rsidR="00B95116" w:rsidRPr="00B95116">
        <w:rPr>
          <w:rFonts w:ascii="CorpoS" w:hAnsi="CorpoS"/>
          <w:sz w:val="22"/>
          <w:szCs w:val="22"/>
          <w:lang w:val="de-DE"/>
        </w:rPr>
        <w:t>47,7</w:t>
      </w:r>
      <w:r w:rsidRPr="00B95116">
        <w:rPr>
          <w:rFonts w:ascii="CorpoS" w:hAnsi="CorpoS"/>
          <w:sz w:val="22"/>
          <w:szCs w:val="22"/>
          <w:lang w:val="de-DE"/>
        </w:rPr>
        <w:t xml:space="preserve"> Mio. €). </w:t>
      </w:r>
      <w:r w:rsidR="00832A2D" w:rsidRPr="00A553FE">
        <w:rPr>
          <w:rFonts w:ascii="CorpoS" w:hAnsi="CorpoS"/>
          <w:sz w:val="22"/>
          <w:szCs w:val="22"/>
          <w:lang w:val="de-DE"/>
        </w:rPr>
        <w:t xml:space="preserve">Die Schwerpunkte der F&amp;E-Tätigkeit </w:t>
      </w:r>
      <w:r w:rsidR="00A553FE" w:rsidRPr="00A553FE">
        <w:rPr>
          <w:rFonts w:ascii="CorpoS" w:hAnsi="CorpoS"/>
          <w:sz w:val="22"/>
          <w:szCs w:val="22"/>
          <w:lang w:val="de-DE"/>
        </w:rPr>
        <w:t>lagen auf den</w:t>
      </w:r>
      <w:r w:rsidR="00B2314E" w:rsidRPr="00A553FE">
        <w:rPr>
          <w:rFonts w:ascii="CorpoS" w:hAnsi="CorpoS"/>
          <w:sz w:val="22"/>
          <w:szCs w:val="22"/>
          <w:lang w:val="de-DE"/>
        </w:rPr>
        <w:t xml:space="preserve"> </w:t>
      </w:r>
      <w:r w:rsidR="005C6A8C" w:rsidRPr="00A553FE">
        <w:rPr>
          <w:rFonts w:ascii="CorpoS" w:hAnsi="CorpoS"/>
          <w:sz w:val="22"/>
          <w:szCs w:val="22"/>
          <w:lang w:val="de-DE"/>
        </w:rPr>
        <w:t>Getriebefan-Programme</w:t>
      </w:r>
      <w:r w:rsidR="00A553FE" w:rsidRPr="00A553FE">
        <w:rPr>
          <w:rFonts w:ascii="CorpoS" w:hAnsi="CorpoS"/>
          <w:sz w:val="22"/>
          <w:szCs w:val="22"/>
          <w:lang w:val="de-DE"/>
        </w:rPr>
        <w:t>n</w:t>
      </w:r>
      <w:r w:rsidR="005C6A8C" w:rsidRPr="00A553FE">
        <w:rPr>
          <w:rFonts w:ascii="CorpoS" w:hAnsi="CorpoS"/>
          <w:sz w:val="22"/>
          <w:szCs w:val="22"/>
          <w:lang w:val="de-DE"/>
        </w:rPr>
        <w:t xml:space="preserve"> und ihre</w:t>
      </w:r>
      <w:r w:rsidR="00A553FE" w:rsidRPr="00A553FE">
        <w:rPr>
          <w:rFonts w:ascii="CorpoS" w:hAnsi="CorpoS"/>
          <w:sz w:val="22"/>
          <w:szCs w:val="22"/>
          <w:lang w:val="de-DE"/>
        </w:rPr>
        <w:t>r</w:t>
      </w:r>
      <w:r w:rsidR="005C6A8C" w:rsidRPr="00A553FE">
        <w:rPr>
          <w:rFonts w:ascii="CorpoS" w:hAnsi="CorpoS"/>
          <w:sz w:val="22"/>
          <w:szCs w:val="22"/>
          <w:lang w:val="de-DE"/>
        </w:rPr>
        <w:t xml:space="preserve"> Weiterentwicklung</w:t>
      </w:r>
      <w:r w:rsidR="00B2314E" w:rsidRPr="00A553FE">
        <w:rPr>
          <w:rFonts w:ascii="CorpoS" w:hAnsi="CorpoS"/>
          <w:sz w:val="22"/>
          <w:szCs w:val="22"/>
          <w:lang w:val="de-DE"/>
        </w:rPr>
        <w:t xml:space="preserve">, </w:t>
      </w:r>
      <w:r w:rsidRPr="00A553FE">
        <w:rPr>
          <w:rFonts w:ascii="CorpoS" w:hAnsi="CorpoS"/>
          <w:sz w:val="22"/>
          <w:szCs w:val="22"/>
          <w:lang w:val="de-DE"/>
        </w:rPr>
        <w:t>d</w:t>
      </w:r>
      <w:r w:rsidR="00A553FE" w:rsidRPr="00A553FE">
        <w:rPr>
          <w:rFonts w:ascii="CorpoS" w:hAnsi="CorpoS"/>
          <w:sz w:val="22"/>
          <w:szCs w:val="22"/>
          <w:lang w:val="de-DE"/>
        </w:rPr>
        <w:t>em</w:t>
      </w:r>
      <w:r w:rsidR="00B2314E" w:rsidRPr="00A553FE">
        <w:rPr>
          <w:rFonts w:ascii="CorpoS" w:hAnsi="CorpoS"/>
          <w:sz w:val="22"/>
          <w:szCs w:val="22"/>
          <w:lang w:val="de-DE"/>
        </w:rPr>
        <w:t xml:space="preserve"> </w:t>
      </w:r>
      <w:r w:rsidR="005C6A8C" w:rsidRPr="00A553FE">
        <w:rPr>
          <w:rFonts w:ascii="CorpoS" w:hAnsi="CorpoS"/>
          <w:sz w:val="22"/>
          <w:szCs w:val="22"/>
          <w:lang w:val="de-DE"/>
        </w:rPr>
        <w:t xml:space="preserve">GE9X für das Langstreckenflugzeug Boeing 777X </w:t>
      </w:r>
      <w:r w:rsidR="008944CD" w:rsidRPr="00A553FE">
        <w:rPr>
          <w:rFonts w:ascii="CorpoS" w:hAnsi="CorpoS"/>
          <w:sz w:val="22"/>
          <w:szCs w:val="22"/>
          <w:lang w:val="de-DE"/>
        </w:rPr>
        <w:t>sowie</w:t>
      </w:r>
      <w:r w:rsidR="005C6A8C" w:rsidRPr="00A553FE">
        <w:rPr>
          <w:rFonts w:ascii="CorpoS" w:hAnsi="CorpoS"/>
          <w:sz w:val="22"/>
          <w:szCs w:val="22"/>
          <w:lang w:val="de-DE"/>
        </w:rPr>
        <w:t xml:space="preserve"> Technologiestudien und F&amp;E-Arbeiten für zukünftige Antriebsgenerationen.</w:t>
      </w:r>
      <w:r w:rsidR="00A553FE" w:rsidRPr="00A553FE">
        <w:rPr>
          <w:rFonts w:ascii="CorpoS" w:hAnsi="CorpoS"/>
          <w:sz w:val="22"/>
          <w:szCs w:val="22"/>
          <w:lang w:val="de-DE"/>
        </w:rPr>
        <w:t xml:space="preserve"> „In unserer F&amp;E-Arbeit beschäftigen wir un</w:t>
      </w:r>
      <w:r w:rsidR="00F45826">
        <w:rPr>
          <w:rFonts w:ascii="CorpoS" w:hAnsi="CorpoS"/>
          <w:sz w:val="22"/>
          <w:szCs w:val="22"/>
          <w:lang w:val="de-DE"/>
        </w:rPr>
        <w:t>s</w:t>
      </w:r>
      <w:r w:rsidR="00A553FE" w:rsidRPr="00A553FE">
        <w:rPr>
          <w:rFonts w:ascii="CorpoS" w:hAnsi="CorpoS"/>
          <w:sz w:val="22"/>
          <w:szCs w:val="22"/>
          <w:lang w:val="de-DE"/>
        </w:rPr>
        <w:t xml:space="preserve"> </w:t>
      </w:r>
      <w:r w:rsidR="0000441F">
        <w:rPr>
          <w:rFonts w:ascii="CorpoS" w:hAnsi="CorpoS"/>
          <w:sz w:val="22"/>
          <w:szCs w:val="22"/>
          <w:lang w:val="de-DE"/>
        </w:rPr>
        <w:t xml:space="preserve">mit der Optimierung aktueller Triebwerksgenerationen ebenso wie </w:t>
      </w:r>
      <w:r w:rsidR="00A553FE" w:rsidRPr="00A553FE">
        <w:rPr>
          <w:rFonts w:ascii="CorpoS" w:hAnsi="CorpoS"/>
          <w:sz w:val="22"/>
          <w:szCs w:val="22"/>
          <w:lang w:val="de-DE"/>
        </w:rPr>
        <w:t xml:space="preserve">mit Technologien, die weit </w:t>
      </w:r>
      <w:r w:rsidR="00F0533E">
        <w:rPr>
          <w:rFonts w:ascii="CorpoS" w:hAnsi="CorpoS"/>
          <w:sz w:val="22"/>
          <w:szCs w:val="22"/>
          <w:lang w:val="de-DE"/>
        </w:rPr>
        <w:t>in die nächsten Jahrzehnte re</w:t>
      </w:r>
      <w:r w:rsidR="00A553FE" w:rsidRPr="00A553FE">
        <w:rPr>
          <w:rFonts w:ascii="CorpoS" w:hAnsi="CorpoS"/>
          <w:sz w:val="22"/>
          <w:szCs w:val="22"/>
          <w:lang w:val="de-DE"/>
        </w:rPr>
        <w:t>ichen</w:t>
      </w:r>
      <w:r w:rsidR="00496A36">
        <w:rPr>
          <w:rFonts w:ascii="CorpoS" w:hAnsi="CorpoS"/>
          <w:sz w:val="22"/>
          <w:szCs w:val="22"/>
          <w:lang w:val="de-DE"/>
        </w:rPr>
        <w:t xml:space="preserve">. So sichern wir </w:t>
      </w:r>
      <w:r w:rsidR="00A553FE" w:rsidRPr="00A553FE">
        <w:rPr>
          <w:rFonts w:ascii="CorpoS" w:hAnsi="CorpoS"/>
          <w:sz w:val="22"/>
          <w:szCs w:val="22"/>
          <w:lang w:val="de-DE"/>
        </w:rPr>
        <w:t xml:space="preserve">die Zukunftsfähigkeit der MTU“, ergänzte Winkler. </w:t>
      </w:r>
    </w:p>
    <w:p w:rsidR="00C51A14" w:rsidRPr="00B95116"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5B61E0" w:rsidRDefault="00FA4490" w:rsidP="00C51A14">
      <w:pPr>
        <w:tabs>
          <w:tab w:val="left" w:pos="7655"/>
          <w:tab w:val="left" w:pos="9072"/>
        </w:tabs>
        <w:spacing w:line="300" w:lineRule="exact"/>
        <w:ind w:right="283"/>
        <w:jc w:val="both"/>
        <w:rPr>
          <w:rFonts w:ascii="CorpoS" w:hAnsi="CorpoS"/>
          <w:sz w:val="22"/>
          <w:szCs w:val="22"/>
          <w:lang w:val="de-DE"/>
        </w:rPr>
      </w:pPr>
      <w:r w:rsidRPr="00B95116">
        <w:rPr>
          <w:rFonts w:ascii="CorpoS" w:hAnsi="CorpoS"/>
          <w:sz w:val="22"/>
          <w:szCs w:val="22"/>
          <w:lang w:val="de-DE"/>
        </w:rPr>
        <w:t>D</w:t>
      </w:r>
      <w:r w:rsidR="003A74F5" w:rsidRPr="00B95116">
        <w:rPr>
          <w:rFonts w:ascii="CorpoS" w:hAnsi="CorpoS"/>
          <w:sz w:val="22"/>
          <w:szCs w:val="22"/>
          <w:lang w:val="de-DE"/>
        </w:rPr>
        <w:t>e</w:t>
      </w:r>
      <w:r w:rsidR="0014255E">
        <w:rPr>
          <w:rFonts w:ascii="CorpoS" w:hAnsi="CorpoS"/>
          <w:sz w:val="22"/>
          <w:szCs w:val="22"/>
          <w:lang w:val="de-DE"/>
        </w:rPr>
        <w:t>r</w:t>
      </w:r>
      <w:r w:rsidR="003A74F5" w:rsidRPr="00B95116">
        <w:rPr>
          <w:rFonts w:ascii="CorpoS" w:hAnsi="CorpoS"/>
          <w:sz w:val="22"/>
          <w:szCs w:val="22"/>
          <w:lang w:val="de-DE"/>
        </w:rPr>
        <w:t xml:space="preserve"> Free Cashflow </w:t>
      </w:r>
      <w:r w:rsidR="0014255E">
        <w:rPr>
          <w:rFonts w:ascii="CorpoS" w:hAnsi="CorpoS"/>
          <w:sz w:val="22"/>
          <w:szCs w:val="22"/>
          <w:lang w:val="de-DE"/>
        </w:rPr>
        <w:t>der</w:t>
      </w:r>
      <w:r w:rsidR="00B95116" w:rsidRPr="00B95116">
        <w:rPr>
          <w:rFonts w:ascii="CorpoS" w:hAnsi="CorpoS"/>
          <w:sz w:val="22"/>
          <w:szCs w:val="22"/>
          <w:lang w:val="de-DE"/>
        </w:rPr>
        <w:t xml:space="preserve"> MTU </w:t>
      </w:r>
      <w:r w:rsidR="0014255E">
        <w:rPr>
          <w:rFonts w:ascii="CorpoS" w:hAnsi="CorpoS"/>
          <w:sz w:val="22"/>
          <w:szCs w:val="22"/>
          <w:lang w:val="de-DE"/>
        </w:rPr>
        <w:t xml:space="preserve">ist </w:t>
      </w:r>
      <w:r w:rsidR="00B95116" w:rsidRPr="00B95116">
        <w:rPr>
          <w:rFonts w:ascii="CorpoS" w:hAnsi="CorpoS"/>
          <w:sz w:val="22"/>
          <w:szCs w:val="22"/>
          <w:lang w:val="de-DE"/>
        </w:rPr>
        <w:t>um 85 % auf 302,5 Mio. € gest</w:t>
      </w:r>
      <w:r w:rsidR="0014255E">
        <w:rPr>
          <w:rFonts w:ascii="CorpoS" w:hAnsi="CorpoS"/>
          <w:sz w:val="22"/>
          <w:szCs w:val="22"/>
          <w:lang w:val="de-DE"/>
        </w:rPr>
        <w:t>iegen</w:t>
      </w:r>
      <w:r w:rsidR="00B95116" w:rsidRPr="00B95116">
        <w:rPr>
          <w:rFonts w:ascii="CorpoS" w:hAnsi="CorpoS"/>
          <w:sz w:val="22"/>
          <w:szCs w:val="22"/>
          <w:lang w:val="de-DE"/>
        </w:rPr>
        <w:t xml:space="preserve"> (</w:t>
      </w:r>
      <w:r w:rsidR="002534DF" w:rsidRPr="00B95116">
        <w:rPr>
          <w:rFonts w:ascii="CorpoS" w:hAnsi="CorpoS"/>
          <w:sz w:val="22"/>
          <w:szCs w:val="22"/>
          <w:lang w:val="de-DE"/>
        </w:rPr>
        <w:t>1-9/201</w:t>
      </w:r>
      <w:r w:rsidR="00B95116" w:rsidRPr="00B95116">
        <w:rPr>
          <w:rFonts w:ascii="CorpoS" w:hAnsi="CorpoS"/>
          <w:sz w:val="22"/>
          <w:szCs w:val="22"/>
          <w:lang w:val="de-DE"/>
        </w:rPr>
        <w:t>8</w:t>
      </w:r>
      <w:r w:rsidR="002534DF" w:rsidRPr="00B95116">
        <w:rPr>
          <w:rFonts w:ascii="CorpoS" w:hAnsi="CorpoS"/>
          <w:sz w:val="22"/>
          <w:szCs w:val="22"/>
          <w:lang w:val="de-DE"/>
        </w:rPr>
        <w:t xml:space="preserve">: </w:t>
      </w:r>
      <w:r w:rsidR="00B95116" w:rsidRPr="00B95116">
        <w:rPr>
          <w:rFonts w:ascii="CorpoS" w:hAnsi="CorpoS"/>
          <w:sz w:val="22"/>
          <w:szCs w:val="22"/>
          <w:lang w:val="de-DE"/>
        </w:rPr>
        <w:t xml:space="preserve">163,3 </w:t>
      </w:r>
      <w:r w:rsidR="002534DF" w:rsidRPr="00B95116">
        <w:rPr>
          <w:rFonts w:ascii="CorpoS" w:hAnsi="CorpoS"/>
          <w:sz w:val="22"/>
          <w:szCs w:val="22"/>
          <w:lang w:val="de-DE"/>
        </w:rPr>
        <w:t xml:space="preserve">Mio. </w:t>
      </w:r>
      <w:r w:rsidR="002534DF" w:rsidRPr="005B61E0">
        <w:rPr>
          <w:rFonts w:ascii="CorpoS" w:hAnsi="CorpoS"/>
          <w:sz w:val="22"/>
          <w:szCs w:val="22"/>
          <w:lang w:val="de-DE"/>
        </w:rPr>
        <w:t>€)</w:t>
      </w:r>
      <w:r w:rsidR="002C58E4" w:rsidRPr="005B61E0">
        <w:rPr>
          <w:rFonts w:ascii="CorpoS" w:hAnsi="CorpoS"/>
          <w:sz w:val="22"/>
          <w:szCs w:val="22"/>
          <w:lang w:val="de-DE"/>
        </w:rPr>
        <w:t>.</w:t>
      </w:r>
      <w:r w:rsidR="00B95116" w:rsidRPr="005B61E0">
        <w:rPr>
          <w:rFonts w:ascii="CorpoS" w:hAnsi="CorpoS"/>
          <w:sz w:val="22"/>
          <w:szCs w:val="22"/>
          <w:lang w:val="de-DE"/>
        </w:rPr>
        <w:t xml:space="preserve"> „</w:t>
      </w:r>
      <w:r w:rsidR="00842C48" w:rsidRPr="005B61E0">
        <w:rPr>
          <w:rFonts w:ascii="CorpoS" w:hAnsi="CorpoS"/>
          <w:sz w:val="22"/>
          <w:szCs w:val="22"/>
          <w:lang w:val="de-DE"/>
        </w:rPr>
        <w:t xml:space="preserve">Die Cash </w:t>
      </w:r>
      <w:proofErr w:type="spellStart"/>
      <w:r w:rsidR="00842C48" w:rsidRPr="005B61E0">
        <w:rPr>
          <w:rFonts w:ascii="CorpoS" w:hAnsi="CorpoS"/>
          <w:sz w:val="22"/>
          <w:szCs w:val="22"/>
          <w:lang w:val="de-DE"/>
        </w:rPr>
        <w:t>Conversion</w:t>
      </w:r>
      <w:proofErr w:type="spellEnd"/>
      <w:r w:rsidR="00842C48" w:rsidRPr="005B61E0">
        <w:rPr>
          <w:rFonts w:ascii="CorpoS" w:hAnsi="CorpoS"/>
          <w:sz w:val="22"/>
          <w:szCs w:val="22"/>
          <w:lang w:val="de-DE"/>
        </w:rPr>
        <w:t xml:space="preserve"> Rate liegt damit nach neun Monaten über unserem Prognosewert. Mit </w:t>
      </w:r>
      <w:r w:rsidR="0014255E">
        <w:rPr>
          <w:rFonts w:ascii="CorpoS" w:hAnsi="CorpoS"/>
          <w:sz w:val="22"/>
          <w:szCs w:val="22"/>
          <w:lang w:val="de-DE"/>
        </w:rPr>
        <w:t>unserem Ausblick</w:t>
      </w:r>
      <w:r w:rsidR="00842C48" w:rsidRPr="005B61E0">
        <w:rPr>
          <w:rFonts w:ascii="CorpoS" w:hAnsi="CorpoS"/>
          <w:sz w:val="22"/>
          <w:szCs w:val="22"/>
          <w:lang w:val="de-DE"/>
        </w:rPr>
        <w:t xml:space="preserve"> fühlen wir uns vor diesem Hintergrund wohl</w:t>
      </w:r>
      <w:r w:rsidR="00B95116" w:rsidRPr="005B61E0">
        <w:rPr>
          <w:rFonts w:ascii="CorpoS" w:hAnsi="CorpoS"/>
          <w:sz w:val="22"/>
          <w:szCs w:val="22"/>
          <w:lang w:val="de-DE"/>
        </w:rPr>
        <w:t xml:space="preserve">“, sagte </w:t>
      </w:r>
      <w:proofErr w:type="spellStart"/>
      <w:r w:rsidR="00B95116" w:rsidRPr="005B61E0">
        <w:rPr>
          <w:rFonts w:ascii="CorpoS" w:hAnsi="CorpoS"/>
          <w:sz w:val="22"/>
          <w:szCs w:val="22"/>
          <w:lang w:val="de-DE"/>
        </w:rPr>
        <w:t>Kameritsch</w:t>
      </w:r>
      <w:proofErr w:type="spellEnd"/>
      <w:r w:rsidR="00B95116" w:rsidRPr="005B61E0">
        <w:rPr>
          <w:rFonts w:ascii="CorpoS" w:hAnsi="CorpoS"/>
          <w:sz w:val="22"/>
          <w:szCs w:val="22"/>
          <w:lang w:val="de-DE"/>
        </w:rPr>
        <w:t>.</w:t>
      </w:r>
    </w:p>
    <w:p w:rsidR="00CE6106" w:rsidRPr="005B61E0" w:rsidRDefault="00CE6106" w:rsidP="00C51A14">
      <w:pPr>
        <w:tabs>
          <w:tab w:val="left" w:pos="7655"/>
          <w:tab w:val="left" w:pos="9072"/>
        </w:tabs>
        <w:spacing w:line="300" w:lineRule="exact"/>
        <w:ind w:right="283"/>
        <w:jc w:val="both"/>
        <w:rPr>
          <w:rFonts w:ascii="CorpoS" w:hAnsi="CorpoS"/>
          <w:sz w:val="22"/>
          <w:szCs w:val="22"/>
          <w:lang w:val="de-DE"/>
        </w:rPr>
      </w:pPr>
    </w:p>
    <w:p w:rsidR="00CE6106" w:rsidRPr="004B1C92" w:rsidRDefault="00FD6B7A" w:rsidP="00C51A14">
      <w:pPr>
        <w:tabs>
          <w:tab w:val="left" w:pos="7655"/>
          <w:tab w:val="left" w:pos="9072"/>
        </w:tabs>
        <w:spacing w:line="300" w:lineRule="exact"/>
        <w:ind w:right="283"/>
        <w:jc w:val="both"/>
        <w:rPr>
          <w:rFonts w:ascii="CorpoS" w:hAnsi="CorpoS"/>
          <w:sz w:val="22"/>
          <w:szCs w:val="22"/>
          <w:lang w:val="de-DE"/>
        </w:rPr>
      </w:pPr>
      <w:proofErr w:type="spellStart"/>
      <w:r w:rsidRPr="005B61E0">
        <w:rPr>
          <w:rFonts w:ascii="CorpoS" w:hAnsi="CorpoS"/>
          <w:sz w:val="22"/>
          <w:szCs w:val="22"/>
          <w:lang w:val="de-DE"/>
        </w:rPr>
        <w:t>Kameritsch</w:t>
      </w:r>
      <w:proofErr w:type="spellEnd"/>
      <w:r w:rsidRPr="005B61E0">
        <w:rPr>
          <w:rFonts w:ascii="CorpoS" w:hAnsi="CorpoS"/>
          <w:sz w:val="22"/>
          <w:szCs w:val="22"/>
          <w:lang w:val="de-DE"/>
        </w:rPr>
        <w:t xml:space="preserve"> weiter: „Darüber hinaus haben wir im abgelaufenen </w:t>
      </w:r>
      <w:r w:rsidR="004B1C92" w:rsidRPr="005B61E0">
        <w:rPr>
          <w:rFonts w:ascii="CorpoS" w:hAnsi="CorpoS"/>
          <w:sz w:val="22"/>
          <w:szCs w:val="22"/>
          <w:lang w:val="de-DE"/>
        </w:rPr>
        <w:t xml:space="preserve">Quartal </w:t>
      </w:r>
      <w:r w:rsidRPr="005B61E0">
        <w:rPr>
          <w:rFonts w:ascii="CorpoS" w:hAnsi="CorpoS"/>
          <w:sz w:val="22"/>
          <w:szCs w:val="22"/>
          <w:lang w:val="de-DE"/>
        </w:rPr>
        <w:t>Maßnahmen zur Optimierung der Kapitalstruktur ergriffen</w:t>
      </w:r>
      <w:r w:rsidRPr="004B1C92">
        <w:rPr>
          <w:rFonts w:ascii="CorpoS" w:hAnsi="CorpoS"/>
          <w:sz w:val="22"/>
          <w:szCs w:val="22"/>
          <w:lang w:val="de-DE"/>
        </w:rPr>
        <w:t xml:space="preserve">.“ Die MTU hat </w:t>
      </w:r>
      <w:r w:rsidR="004B1C92" w:rsidRPr="004B1C92">
        <w:rPr>
          <w:rFonts w:ascii="CorpoS" w:hAnsi="CorpoS"/>
          <w:sz w:val="22"/>
          <w:szCs w:val="22"/>
          <w:lang w:val="de-DE"/>
        </w:rPr>
        <w:t xml:space="preserve">im September </w:t>
      </w:r>
      <w:r w:rsidRPr="004B1C92">
        <w:rPr>
          <w:rFonts w:ascii="CorpoS" w:hAnsi="CorpoS"/>
          <w:sz w:val="22"/>
          <w:szCs w:val="22"/>
          <w:lang w:val="de-DE"/>
        </w:rPr>
        <w:t xml:space="preserve">eine Wandelschuldverschreibung </w:t>
      </w:r>
      <w:r w:rsidR="004B1C92" w:rsidRPr="004B1C92">
        <w:rPr>
          <w:rFonts w:ascii="CorpoS" w:hAnsi="CorpoS"/>
          <w:sz w:val="22"/>
          <w:szCs w:val="22"/>
          <w:lang w:val="de-DE"/>
        </w:rPr>
        <w:t xml:space="preserve">mit einem Gesamtnennbetrag von 500 Mio. € </w:t>
      </w:r>
      <w:r w:rsidR="00842C48">
        <w:rPr>
          <w:rFonts w:ascii="CorpoS" w:hAnsi="CorpoS"/>
          <w:sz w:val="22"/>
          <w:szCs w:val="22"/>
          <w:lang w:val="de-DE"/>
        </w:rPr>
        <w:t xml:space="preserve">und einer Laufzeit bis zum Jahr 2027 </w:t>
      </w:r>
      <w:r w:rsidR="004B1C92" w:rsidRPr="004B1C92">
        <w:rPr>
          <w:rFonts w:ascii="CorpoS" w:hAnsi="CorpoS"/>
          <w:sz w:val="22"/>
          <w:szCs w:val="22"/>
          <w:lang w:val="de-DE"/>
        </w:rPr>
        <w:t xml:space="preserve">ausgegeben und ausstehende Wandelschuldverschreibungen im Gesamtnennbetrag von 275 Mio. € zurückgekauft. </w:t>
      </w:r>
    </w:p>
    <w:p w:rsidR="00C51A14" w:rsidRPr="004B1C92"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B95116" w:rsidRDefault="00B95116" w:rsidP="00C51A14">
      <w:pPr>
        <w:tabs>
          <w:tab w:val="left" w:pos="7655"/>
          <w:tab w:val="left" w:pos="9072"/>
        </w:tabs>
        <w:spacing w:line="300" w:lineRule="exact"/>
        <w:ind w:right="283"/>
        <w:jc w:val="both"/>
        <w:rPr>
          <w:rFonts w:ascii="CorpoS" w:hAnsi="CorpoS"/>
          <w:sz w:val="22"/>
          <w:szCs w:val="22"/>
          <w:lang w:val="de-DE"/>
        </w:rPr>
      </w:pPr>
      <w:r w:rsidRPr="00B95116">
        <w:rPr>
          <w:rFonts w:ascii="CorpoS" w:hAnsi="CorpoS"/>
          <w:sz w:val="22"/>
          <w:szCs w:val="22"/>
          <w:lang w:val="de-DE"/>
        </w:rPr>
        <w:t xml:space="preserve">Die Netto-Auszahlungen in </w:t>
      </w:r>
      <w:r w:rsidR="00972A32" w:rsidRPr="00B95116">
        <w:rPr>
          <w:rFonts w:ascii="CorpoS" w:hAnsi="CorpoS"/>
          <w:sz w:val="22"/>
          <w:szCs w:val="22"/>
          <w:lang w:val="de-DE"/>
        </w:rPr>
        <w:t xml:space="preserve">Sachanlagen </w:t>
      </w:r>
      <w:r w:rsidRPr="00B95116">
        <w:rPr>
          <w:rFonts w:ascii="CorpoS" w:hAnsi="CorpoS"/>
          <w:sz w:val="22"/>
          <w:szCs w:val="22"/>
          <w:lang w:val="de-DE"/>
        </w:rPr>
        <w:t>sind in</w:t>
      </w:r>
      <w:r>
        <w:rPr>
          <w:rFonts w:ascii="CorpoS" w:hAnsi="CorpoS"/>
          <w:sz w:val="22"/>
          <w:szCs w:val="22"/>
          <w:lang w:val="de-DE"/>
        </w:rPr>
        <w:t xml:space="preserve"> den ersten neun Monaten um 24 %</w:t>
      </w:r>
      <w:r w:rsidRPr="00B95116">
        <w:rPr>
          <w:rFonts w:ascii="CorpoS" w:hAnsi="CorpoS"/>
          <w:sz w:val="22"/>
          <w:szCs w:val="22"/>
          <w:lang w:val="de-DE"/>
        </w:rPr>
        <w:t xml:space="preserve"> von 134,0 Mio. € auf 166,0 Mio. € gestiegen</w:t>
      </w:r>
      <w:r w:rsidR="00027A8C" w:rsidRPr="00B95116">
        <w:rPr>
          <w:rFonts w:ascii="CorpoS" w:hAnsi="CorpoS"/>
          <w:sz w:val="22"/>
          <w:szCs w:val="22"/>
          <w:lang w:val="de-DE"/>
        </w:rPr>
        <w:t>.</w:t>
      </w:r>
      <w:r w:rsidR="005B5E19" w:rsidRPr="00B95116">
        <w:rPr>
          <w:rFonts w:ascii="CorpoS" w:hAnsi="CorpoS"/>
          <w:sz w:val="22"/>
          <w:szCs w:val="22"/>
          <w:lang w:val="de-DE"/>
        </w:rPr>
        <w:t xml:space="preserve"> </w:t>
      </w:r>
    </w:p>
    <w:p w:rsidR="00C51A14" w:rsidRPr="00B95116"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875A82" w:rsidRDefault="00AF1055" w:rsidP="00C51A14">
      <w:pPr>
        <w:tabs>
          <w:tab w:val="left" w:pos="7655"/>
          <w:tab w:val="left" w:pos="9072"/>
        </w:tabs>
        <w:spacing w:line="300" w:lineRule="exact"/>
        <w:ind w:right="283"/>
        <w:jc w:val="both"/>
        <w:rPr>
          <w:rFonts w:ascii="CorpoS" w:eastAsia="SimSun" w:hAnsi="CorpoS"/>
          <w:sz w:val="22"/>
          <w:szCs w:val="22"/>
          <w:lang w:val="de-DE" w:eastAsia="zh-CN"/>
        </w:rPr>
      </w:pPr>
      <w:r w:rsidRPr="00AF1055">
        <w:rPr>
          <w:rFonts w:ascii="CorpoS" w:eastAsia="SimSun" w:hAnsi="CorpoS"/>
          <w:sz w:val="22"/>
          <w:szCs w:val="22"/>
          <w:lang w:val="de-DE" w:eastAsia="zh-CN"/>
        </w:rPr>
        <w:t xml:space="preserve">Die MTU hatte am Quartalsende 10.500 Mitarbeiter, 8 % mehr als Ende 2018 (31. Dezember 2018: 9.731 Mitarbeiter). </w:t>
      </w:r>
      <w:r w:rsidRPr="00875A82">
        <w:rPr>
          <w:rFonts w:ascii="CorpoS" w:eastAsia="SimSun" w:hAnsi="CorpoS"/>
          <w:sz w:val="22"/>
          <w:szCs w:val="22"/>
          <w:lang w:val="de-DE" w:eastAsia="zh-CN"/>
        </w:rPr>
        <w:t>„</w:t>
      </w:r>
      <w:r w:rsidR="00875A82" w:rsidRPr="00875A82">
        <w:rPr>
          <w:rFonts w:ascii="CorpoS" w:eastAsia="SimSun" w:hAnsi="CorpoS"/>
          <w:sz w:val="22"/>
          <w:szCs w:val="22"/>
          <w:lang w:val="de-DE" w:eastAsia="zh-CN"/>
        </w:rPr>
        <w:t>Der Ausbau unserer weltweiten Kapazitäten geht mit einem Personalaufbau an allen Standorten einher. Besonders stark gewachsen sind wir in München, Hannover und in Polen</w:t>
      </w:r>
      <w:r w:rsidRPr="00875A82">
        <w:rPr>
          <w:rFonts w:ascii="CorpoS" w:eastAsia="SimSun" w:hAnsi="CorpoS"/>
          <w:sz w:val="22"/>
          <w:szCs w:val="22"/>
          <w:lang w:val="de-DE" w:eastAsia="zh-CN"/>
        </w:rPr>
        <w:t xml:space="preserve">“, </w:t>
      </w:r>
      <w:r w:rsidR="000C117F">
        <w:rPr>
          <w:rFonts w:ascii="CorpoS" w:eastAsia="SimSun" w:hAnsi="CorpoS"/>
          <w:sz w:val="22"/>
          <w:szCs w:val="22"/>
          <w:lang w:val="de-DE" w:eastAsia="zh-CN"/>
        </w:rPr>
        <w:t>so</w:t>
      </w:r>
      <w:r w:rsidRPr="00875A82">
        <w:rPr>
          <w:rFonts w:ascii="CorpoS" w:eastAsia="SimSun" w:hAnsi="CorpoS"/>
          <w:sz w:val="22"/>
          <w:szCs w:val="22"/>
          <w:lang w:val="de-DE" w:eastAsia="zh-CN"/>
        </w:rPr>
        <w:t xml:space="preserve"> Winkler.</w:t>
      </w:r>
    </w:p>
    <w:p w:rsidR="00CE462B" w:rsidRPr="000E0516" w:rsidRDefault="00CE462B" w:rsidP="00C51A14">
      <w:pPr>
        <w:tabs>
          <w:tab w:val="left" w:pos="7655"/>
          <w:tab w:val="left" w:pos="9072"/>
        </w:tabs>
        <w:spacing w:line="300" w:lineRule="exact"/>
        <w:ind w:right="283"/>
        <w:jc w:val="both"/>
        <w:rPr>
          <w:rFonts w:ascii="CorpoS" w:eastAsia="SimSun" w:hAnsi="CorpoS"/>
          <w:sz w:val="22"/>
          <w:szCs w:val="22"/>
          <w:lang w:val="de-DE" w:eastAsia="zh-CN"/>
        </w:rPr>
      </w:pPr>
    </w:p>
    <w:p w:rsidR="00E16208" w:rsidRDefault="000E0516" w:rsidP="00C51A14">
      <w:pPr>
        <w:tabs>
          <w:tab w:val="left" w:pos="7655"/>
          <w:tab w:val="left" w:pos="9072"/>
        </w:tabs>
        <w:spacing w:line="300" w:lineRule="exact"/>
        <w:ind w:right="283"/>
        <w:jc w:val="both"/>
        <w:rPr>
          <w:rFonts w:ascii="CorpoS" w:eastAsia="SimSun" w:hAnsi="CorpoS"/>
          <w:sz w:val="22"/>
          <w:szCs w:val="22"/>
          <w:lang w:val="de-DE" w:eastAsia="zh-CN"/>
        </w:rPr>
      </w:pPr>
      <w:r w:rsidRPr="000E0516">
        <w:rPr>
          <w:rFonts w:ascii="CorpoS" w:eastAsia="SimSun" w:hAnsi="CorpoS"/>
          <w:sz w:val="22"/>
          <w:szCs w:val="22"/>
          <w:lang w:val="de-DE" w:eastAsia="zh-CN"/>
        </w:rPr>
        <w:t>Ihre</w:t>
      </w:r>
      <w:r w:rsidR="003F4F8C" w:rsidRPr="000E0516">
        <w:rPr>
          <w:rFonts w:ascii="CorpoS" w:eastAsia="SimSun" w:hAnsi="CorpoS"/>
          <w:sz w:val="22"/>
          <w:szCs w:val="22"/>
          <w:lang w:val="de-DE" w:eastAsia="zh-CN"/>
        </w:rPr>
        <w:t xml:space="preserve"> positive </w:t>
      </w:r>
      <w:r w:rsidRPr="000E0516">
        <w:rPr>
          <w:rFonts w:ascii="CorpoS" w:eastAsia="SimSun" w:hAnsi="CorpoS"/>
          <w:sz w:val="22"/>
          <w:szCs w:val="22"/>
          <w:lang w:val="de-DE" w:eastAsia="zh-CN"/>
        </w:rPr>
        <w:t>Prognose</w:t>
      </w:r>
      <w:r w:rsidR="003F4F8C" w:rsidRPr="000E0516">
        <w:rPr>
          <w:rFonts w:ascii="CorpoS" w:eastAsia="SimSun" w:hAnsi="CorpoS"/>
          <w:sz w:val="22"/>
          <w:szCs w:val="22"/>
          <w:lang w:val="de-DE" w:eastAsia="zh-CN"/>
        </w:rPr>
        <w:t xml:space="preserve"> für das Geschäftsjahr 2019, d</w:t>
      </w:r>
      <w:r w:rsidRPr="000E0516">
        <w:rPr>
          <w:rFonts w:ascii="CorpoS" w:eastAsia="SimSun" w:hAnsi="CorpoS"/>
          <w:sz w:val="22"/>
          <w:szCs w:val="22"/>
          <w:lang w:val="de-DE" w:eastAsia="zh-CN"/>
        </w:rPr>
        <w:t>ie</w:t>
      </w:r>
      <w:r w:rsidR="003F4F8C" w:rsidRPr="000E0516">
        <w:rPr>
          <w:rFonts w:ascii="CorpoS" w:eastAsia="SimSun" w:hAnsi="CorpoS"/>
          <w:sz w:val="22"/>
          <w:szCs w:val="22"/>
          <w:lang w:val="de-DE" w:eastAsia="zh-CN"/>
        </w:rPr>
        <w:t xml:space="preserve"> sie zum Halbjahr erhöht hatte, behält die MTU bei: Das Unternehmen rechnet mit rund 4,7 Mrd. € Umsatz (2018: 4,6 Mrd. €). Dabei dürfte</w:t>
      </w:r>
      <w:r w:rsidRPr="000E0516">
        <w:rPr>
          <w:rFonts w:ascii="CorpoS" w:eastAsia="SimSun" w:hAnsi="CorpoS"/>
          <w:sz w:val="22"/>
          <w:szCs w:val="22"/>
          <w:lang w:val="de-DE" w:eastAsia="zh-CN"/>
        </w:rPr>
        <w:t xml:space="preserve"> der Umsatz im</w:t>
      </w:r>
      <w:r w:rsidR="003F4F8C" w:rsidRPr="000E0516">
        <w:rPr>
          <w:rFonts w:ascii="CorpoS" w:eastAsia="SimSun" w:hAnsi="CorpoS"/>
          <w:sz w:val="22"/>
          <w:szCs w:val="22"/>
          <w:lang w:val="de-DE" w:eastAsia="zh-CN"/>
        </w:rPr>
        <w:t xml:space="preserve"> zivile</w:t>
      </w:r>
      <w:r w:rsidRPr="000E0516">
        <w:rPr>
          <w:rFonts w:ascii="CorpoS" w:eastAsia="SimSun" w:hAnsi="CorpoS"/>
          <w:sz w:val="22"/>
          <w:szCs w:val="22"/>
          <w:lang w:val="de-DE" w:eastAsia="zh-CN"/>
        </w:rPr>
        <w:t>n</w:t>
      </w:r>
      <w:r w:rsidR="003F4F8C" w:rsidRPr="000E0516">
        <w:rPr>
          <w:rFonts w:ascii="CorpoS" w:eastAsia="SimSun" w:hAnsi="CorpoS"/>
          <w:sz w:val="22"/>
          <w:szCs w:val="22"/>
          <w:lang w:val="de-DE" w:eastAsia="zh-CN"/>
        </w:rPr>
        <w:t xml:space="preserve"> Seriengeschäft organisch im niedrigen Zehner-Prozentbereich zunehmen</w:t>
      </w:r>
      <w:r w:rsidRPr="000E0516">
        <w:rPr>
          <w:rFonts w:ascii="CorpoS" w:eastAsia="SimSun" w:hAnsi="CorpoS"/>
          <w:sz w:val="22"/>
          <w:szCs w:val="22"/>
          <w:lang w:val="de-DE" w:eastAsia="zh-CN"/>
        </w:rPr>
        <w:t xml:space="preserve"> und im z</w:t>
      </w:r>
      <w:r w:rsidR="003F4F8C" w:rsidRPr="000E0516">
        <w:rPr>
          <w:rFonts w:ascii="CorpoS" w:eastAsia="SimSun" w:hAnsi="CorpoS"/>
          <w:sz w:val="22"/>
          <w:szCs w:val="22"/>
          <w:lang w:val="de-DE" w:eastAsia="zh-CN"/>
        </w:rPr>
        <w:t>ivile</w:t>
      </w:r>
      <w:r w:rsidRPr="000E0516">
        <w:rPr>
          <w:rFonts w:ascii="CorpoS" w:eastAsia="SimSun" w:hAnsi="CorpoS"/>
          <w:sz w:val="22"/>
          <w:szCs w:val="22"/>
          <w:lang w:val="de-DE" w:eastAsia="zh-CN"/>
        </w:rPr>
        <w:t>n</w:t>
      </w:r>
      <w:r w:rsidR="003F4F8C" w:rsidRPr="000E0516">
        <w:rPr>
          <w:rFonts w:ascii="CorpoS" w:eastAsia="SimSun" w:hAnsi="CorpoS"/>
          <w:sz w:val="22"/>
          <w:szCs w:val="22"/>
          <w:lang w:val="de-DE" w:eastAsia="zh-CN"/>
        </w:rPr>
        <w:t xml:space="preserve"> Ersatzteilgeschäft im mittleren bis hohen einstelligen Prozentbereich. </w:t>
      </w:r>
      <w:r w:rsidRPr="000E0516">
        <w:rPr>
          <w:rFonts w:ascii="CorpoS" w:eastAsia="SimSun" w:hAnsi="CorpoS"/>
          <w:sz w:val="22"/>
          <w:szCs w:val="22"/>
          <w:lang w:val="de-DE" w:eastAsia="zh-CN"/>
        </w:rPr>
        <w:t xml:space="preserve">Im </w:t>
      </w:r>
      <w:r w:rsidR="003F4F8C" w:rsidRPr="000E0516">
        <w:rPr>
          <w:rFonts w:ascii="CorpoS" w:eastAsia="SimSun" w:hAnsi="CorpoS"/>
          <w:sz w:val="22"/>
          <w:szCs w:val="22"/>
          <w:lang w:val="de-DE" w:eastAsia="zh-CN"/>
        </w:rPr>
        <w:t>Militärgeschäft</w:t>
      </w:r>
      <w:r w:rsidRPr="000E0516">
        <w:rPr>
          <w:rFonts w:ascii="CorpoS" w:eastAsia="SimSun" w:hAnsi="CorpoS"/>
          <w:sz w:val="22"/>
          <w:szCs w:val="22"/>
          <w:lang w:val="de-DE" w:eastAsia="zh-CN"/>
        </w:rPr>
        <w:t xml:space="preserve"> wird ein Umsatzplus von</w:t>
      </w:r>
      <w:r w:rsidR="003F4F8C" w:rsidRPr="000E0516">
        <w:rPr>
          <w:rFonts w:ascii="CorpoS" w:eastAsia="SimSun" w:hAnsi="CorpoS"/>
          <w:sz w:val="22"/>
          <w:szCs w:val="22"/>
          <w:lang w:val="de-DE" w:eastAsia="zh-CN"/>
        </w:rPr>
        <w:t xml:space="preserve"> rund 10 % </w:t>
      </w:r>
      <w:r w:rsidRPr="000E0516">
        <w:rPr>
          <w:rFonts w:ascii="CorpoS" w:eastAsia="SimSun" w:hAnsi="CorpoS"/>
          <w:sz w:val="22"/>
          <w:szCs w:val="22"/>
          <w:lang w:val="de-DE" w:eastAsia="zh-CN"/>
        </w:rPr>
        <w:t>erwartet</w:t>
      </w:r>
      <w:r w:rsidR="003F4F8C" w:rsidRPr="000E0516">
        <w:rPr>
          <w:rFonts w:ascii="CorpoS" w:eastAsia="SimSun" w:hAnsi="CorpoS"/>
          <w:sz w:val="22"/>
          <w:szCs w:val="22"/>
          <w:lang w:val="de-DE" w:eastAsia="zh-CN"/>
        </w:rPr>
        <w:t xml:space="preserve">. Die zivile Instandhaltung dürfte organisch im hohen einstelligen Prozentbereich wachsen. Die </w:t>
      </w:r>
      <w:r w:rsidRPr="000E0516">
        <w:rPr>
          <w:rFonts w:ascii="CorpoS" w:eastAsia="SimSun" w:hAnsi="CorpoS"/>
          <w:sz w:val="22"/>
          <w:szCs w:val="22"/>
          <w:lang w:val="de-DE" w:eastAsia="zh-CN"/>
        </w:rPr>
        <w:t xml:space="preserve">MTU geht für 2019 von einer </w:t>
      </w:r>
      <w:r w:rsidR="003F4F8C" w:rsidRPr="000E0516">
        <w:rPr>
          <w:rFonts w:ascii="CorpoS" w:eastAsia="SimSun" w:hAnsi="CorpoS"/>
          <w:sz w:val="22"/>
          <w:szCs w:val="22"/>
          <w:lang w:val="de-DE" w:eastAsia="zh-CN"/>
        </w:rPr>
        <w:t>bereinigte</w:t>
      </w:r>
      <w:r w:rsidRPr="000E0516">
        <w:rPr>
          <w:rFonts w:ascii="CorpoS" w:eastAsia="SimSun" w:hAnsi="CorpoS"/>
          <w:sz w:val="22"/>
          <w:szCs w:val="22"/>
          <w:lang w:val="de-DE" w:eastAsia="zh-CN"/>
        </w:rPr>
        <w:t>n</w:t>
      </w:r>
      <w:r w:rsidR="003F4F8C" w:rsidRPr="000E0516">
        <w:rPr>
          <w:rFonts w:ascii="CorpoS" w:eastAsia="SimSun" w:hAnsi="CorpoS"/>
          <w:sz w:val="22"/>
          <w:szCs w:val="22"/>
          <w:lang w:val="de-DE" w:eastAsia="zh-CN"/>
        </w:rPr>
        <w:t xml:space="preserve"> EBIT-Marge </w:t>
      </w:r>
      <w:r w:rsidRPr="000E0516">
        <w:rPr>
          <w:rFonts w:ascii="CorpoS" w:eastAsia="SimSun" w:hAnsi="CorpoS"/>
          <w:sz w:val="22"/>
          <w:szCs w:val="22"/>
          <w:lang w:val="de-DE" w:eastAsia="zh-CN"/>
        </w:rPr>
        <w:t>von</w:t>
      </w:r>
      <w:r w:rsidR="003F4F8C" w:rsidRPr="000E0516">
        <w:rPr>
          <w:rFonts w:ascii="CorpoS" w:eastAsia="SimSun" w:hAnsi="CorpoS"/>
          <w:sz w:val="22"/>
          <w:szCs w:val="22"/>
          <w:lang w:val="de-DE" w:eastAsia="zh-CN"/>
        </w:rPr>
        <w:t xml:space="preserve"> etwa </w:t>
      </w:r>
      <w:r w:rsidRPr="000E0516">
        <w:rPr>
          <w:rFonts w:ascii="CorpoS" w:eastAsia="SimSun" w:hAnsi="CorpoS"/>
          <w:sz w:val="22"/>
          <w:szCs w:val="22"/>
          <w:lang w:val="de-DE" w:eastAsia="zh-CN"/>
        </w:rPr>
        <w:t xml:space="preserve">16 </w:t>
      </w:r>
      <w:r w:rsidR="003F4F8C" w:rsidRPr="000E0516">
        <w:rPr>
          <w:rFonts w:ascii="CorpoS" w:eastAsia="SimSun" w:hAnsi="CorpoS"/>
          <w:sz w:val="22"/>
          <w:szCs w:val="22"/>
          <w:lang w:val="de-DE" w:eastAsia="zh-CN"/>
        </w:rPr>
        <w:t>%</w:t>
      </w:r>
      <w:r w:rsidRPr="000E0516">
        <w:rPr>
          <w:rFonts w:ascii="CorpoS" w:eastAsia="SimSun" w:hAnsi="CorpoS"/>
          <w:sz w:val="22"/>
          <w:szCs w:val="22"/>
          <w:lang w:val="de-DE" w:eastAsia="zh-CN"/>
        </w:rPr>
        <w:t xml:space="preserve"> aus</w:t>
      </w:r>
      <w:r w:rsidR="003F4F8C" w:rsidRPr="000E0516">
        <w:rPr>
          <w:rFonts w:ascii="CorpoS" w:eastAsia="SimSun" w:hAnsi="CorpoS"/>
          <w:sz w:val="22"/>
          <w:szCs w:val="22"/>
          <w:lang w:val="de-DE" w:eastAsia="zh-CN"/>
        </w:rPr>
        <w:t xml:space="preserve"> (2018: 14,7 %). Das operative Ergebnis und der bereinigte Gewinn nach Steuern dürften gleichermaßen zunehmen (EBIT bereinigt, 2018: 671,4 Mio. €; Net Income bereinigt, 2018: 479,1 Mio. €). Die Cash </w:t>
      </w:r>
      <w:proofErr w:type="spellStart"/>
      <w:r w:rsidR="003F4F8C" w:rsidRPr="000E0516">
        <w:rPr>
          <w:rFonts w:ascii="CorpoS" w:eastAsia="SimSun" w:hAnsi="CorpoS"/>
          <w:sz w:val="22"/>
          <w:szCs w:val="22"/>
          <w:lang w:val="de-DE" w:eastAsia="zh-CN"/>
        </w:rPr>
        <w:t>Conversion</w:t>
      </w:r>
      <w:proofErr w:type="spellEnd"/>
      <w:r w:rsidR="003F4F8C" w:rsidRPr="000E0516">
        <w:rPr>
          <w:rFonts w:ascii="CorpoS" w:eastAsia="SimSun" w:hAnsi="CorpoS"/>
          <w:sz w:val="22"/>
          <w:szCs w:val="22"/>
          <w:lang w:val="de-DE" w:eastAsia="zh-CN"/>
        </w:rPr>
        <w:t xml:space="preserve"> Rate, die das Verhältnis von Free Cashflow zu bereinigtem Gewinn nach Steuern ausdrückt, soll 2019 zwischen </w:t>
      </w:r>
      <w:r w:rsidRPr="000E0516">
        <w:rPr>
          <w:rFonts w:ascii="CorpoS" w:eastAsia="SimSun" w:hAnsi="CorpoS"/>
          <w:sz w:val="22"/>
          <w:szCs w:val="22"/>
          <w:lang w:val="de-DE" w:eastAsia="zh-CN"/>
        </w:rPr>
        <w:t xml:space="preserve">65 </w:t>
      </w:r>
      <w:r w:rsidR="003F4F8C" w:rsidRPr="000E0516">
        <w:rPr>
          <w:rFonts w:ascii="CorpoS" w:eastAsia="SimSun" w:hAnsi="CorpoS"/>
          <w:sz w:val="22"/>
          <w:szCs w:val="22"/>
          <w:lang w:val="de-DE" w:eastAsia="zh-CN"/>
        </w:rPr>
        <w:t>und</w:t>
      </w:r>
      <w:r w:rsidRPr="000E0516">
        <w:rPr>
          <w:rFonts w:ascii="CorpoS" w:eastAsia="SimSun" w:hAnsi="CorpoS"/>
          <w:sz w:val="22"/>
          <w:szCs w:val="22"/>
          <w:lang w:val="de-DE" w:eastAsia="zh-CN"/>
        </w:rPr>
        <w:t xml:space="preserve"> 70 %</w:t>
      </w:r>
      <w:r w:rsidR="003F4F8C" w:rsidRPr="000E0516">
        <w:rPr>
          <w:rFonts w:ascii="CorpoS" w:eastAsia="SimSun" w:hAnsi="CorpoS"/>
          <w:sz w:val="22"/>
          <w:szCs w:val="22"/>
          <w:lang w:val="de-DE" w:eastAsia="zh-CN"/>
        </w:rPr>
        <w:t xml:space="preserve"> </w:t>
      </w:r>
      <w:r w:rsidR="001D0CE4">
        <w:rPr>
          <w:rFonts w:ascii="CorpoS" w:eastAsia="SimSun" w:hAnsi="CorpoS"/>
          <w:sz w:val="22"/>
          <w:szCs w:val="22"/>
          <w:lang w:val="de-DE" w:eastAsia="zh-CN"/>
        </w:rPr>
        <w:t>erreichen</w:t>
      </w:r>
      <w:r w:rsidR="00CE6106">
        <w:rPr>
          <w:rFonts w:ascii="CorpoS" w:eastAsia="SimSun" w:hAnsi="CorpoS"/>
          <w:sz w:val="22"/>
          <w:szCs w:val="22"/>
          <w:lang w:val="de-DE" w:eastAsia="zh-CN"/>
        </w:rPr>
        <w:t xml:space="preserve"> (2018: 42 %).</w:t>
      </w:r>
    </w:p>
    <w:p w:rsidR="00766743" w:rsidRPr="00944CD8" w:rsidRDefault="0079305F" w:rsidP="00766743">
      <w:pPr>
        <w:tabs>
          <w:tab w:val="left" w:pos="7655"/>
          <w:tab w:val="left" w:pos="9072"/>
        </w:tabs>
        <w:spacing w:line="300" w:lineRule="exact"/>
        <w:ind w:right="283"/>
        <w:jc w:val="both"/>
        <w:rPr>
          <w:rFonts w:ascii="CorpoS" w:hAnsi="CorpoS"/>
          <w:b/>
          <w:sz w:val="22"/>
          <w:szCs w:val="22"/>
          <w:lang w:val="de-DE"/>
        </w:rPr>
      </w:pPr>
      <w:r w:rsidRPr="00944CD8">
        <w:rPr>
          <w:rFonts w:ascii="CorpoS" w:hAnsi="CorpoS"/>
          <w:b/>
          <w:sz w:val="22"/>
          <w:szCs w:val="22"/>
          <w:lang w:val="de-DE"/>
        </w:rPr>
        <w:lastRenderedPageBreak/>
        <w:t xml:space="preserve">MTU </w:t>
      </w:r>
      <w:proofErr w:type="spellStart"/>
      <w:r w:rsidRPr="00944CD8">
        <w:rPr>
          <w:rFonts w:ascii="CorpoS" w:hAnsi="CorpoS"/>
          <w:b/>
          <w:sz w:val="22"/>
          <w:szCs w:val="22"/>
          <w:lang w:val="de-DE"/>
        </w:rPr>
        <w:t>Aero</w:t>
      </w:r>
      <w:proofErr w:type="spellEnd"/>
      <w:r w:rsidRPr="00944CD8">
        <w:rPr>
          <w:rFonts w:ascii="CorpoS" w:hAnsi="CorpoS"/>
          <w:b/>
          <w:sz w:val="22"/>
          <w:szCs w:val="22"/>
          <w:lang w:val="de-DE"/>
        </w:rPr>
        <w:t xml:space="preserve"> </w:t>
      </w:r>
      <w:proofErr w:type="spellStart"/>
      <w:r w:rsidRPr="00944CD8">
        <w:rPr>
          <w:rFonts w:ascii="CorpoS" w:hAnsi="CorpoS"/>
          <w:b/>
          <w:sz w:val="22"/>
          <w:szCs w:val="22"/>
          <w:lang w:val="de-DE"/>
        </w:rPr>
        <w:t>Engines</w:t>
      </w:r>
      <w:proofErr w:type="spellEnd"/>
      <w:r w:rsidRPr="00944CD8">
        <w:rPr>
          <w:rFonts w:ascii="CorpoS" w:hAnsi="CorpoS"/>
          <w:b/>
          <w:sz w:val="22"/>
          <w:szCs w:val="22"/>
          <w:lang w:val="de-DE"/>
        </w:rPr>
        <w:t xml:space="preserve"> – Eckdaten </w:t>
      </w:r>
      <w:r w:rsidR="002C2460" w:rsidRPr="00944CD8">
        <w:rPr>
          <w:rFonts w:ascii="CorpoS" w:hAnsi="CorpoS"/>
          <w:b/>
          <w:sz w:val="22"/>
          <w:szCs w:val="22"/>
          <w:lang w:val="de-DE"/>
        </w:rPr>
        <w:t>3. Quartal</w:t>
      </w:r>
      <w:r w:rsidR="00766743" w:rsidRPr="00944CD8">
        <w:rPr>
          <w:rFonts w:ascii="CorpoS" w:hAnsi="CorpoS"/>
          <w:b/>
          <w:sz w:val="22"/>
          <w:szCs w:val="22"/>
          <w:lang w:val="de-DE"/>
        </w:rPr>
        <w:t xml:space="preserve"> 201</w:t>
      </w:r>
      <w:r w:rsidR="00944CD8" w:rsidRPr="00944CD8">
        <w:rPr>
          <w:rFonts w:ascii="CorpoS" w:hAnsi="CorpoS"/>
          <w:b/>
          <w:sz w:val="22"/>
          <w:szCs w:val="22"/>
          <w:lang w:val="de-DE"/>
        </w:rPr>
        <w:t>9</w:t>
      </w:r>
    </w:p>
    <w:p w:rsidR="001F34ED" w:rsidRPr="00944CD8" w:rsidRDefault="00766743" w:rsidP="00766743">
      <w:pPr>
        <w:tabs>
          <w:tab w:val="left" w:pos="7938"/>
        </w:tabs>
        <w:autoSpaceDE w:val="0"/>
        <w:autoSpaceDN w:val="0"/>
        <w:adjustRightInd w:val="0"/>
        <w:ind w:right="283"/>
        <w:rPr>
          <w:rFonts w:ascii="CorpoS" w:hAnsi="CorpoS"/>
          <w:i/>
          <w:sz w:val="18"/>
          <w:szCs w:val="18"/>
          <w:lang w:val="de-DE"/>
        </w:rPr>
      </w:pPr>
      <w:r w:rsidRPr="00944CD8">
        <w:rPr>
          <w:rFonts w:ascii="CorpoS" w:hAnsi="CorpoS"/>
          <w:i/>
          <w:sz w:val="18"/>
          <w:szCs w:val="18"/>
          <w:lang w:val="de-DE"/>
        </w:rPr>
        <w:t>(Beträge in Mio. €</w:t>
      </w:r>
      <w:r w:rsidR="00701B52">
        <w:rPr>
          <w:rFonts w:ascii="CorpoS" w:hAnsi="CorpoS"/>
          <w:i/>
          <w:sz w:val="18"/>
          <w:szCs w:val="18"/>
          <w:lang w:val="de-DE"/>
        </w:rPr>
        <w:t>)</w:t>
      </w:r>
      <w:bookmarkStart w:id="0" w:name="_GoBack"/>
      <w:bookmarkEnd w:id="0"/>
    </w:p>
    <w:p w:rsidR="00CF55C2" w:rsidRPr="00944CD8" w:rsidRDefault="00CF55C2"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944CD8" w:rsidRPr="00944CD8" w:rsidTr="00126044">
        <w:tc>
          <w:tcPr>
            <w:tcW w:w="3969" w:type="dxa"/>
            <w:tcBorders>
              <w:right w:val="single" w:sz="4" w:space="0" w:color="auto"/>
            </w:tcBorders>
            <w:shd w:val="clear" w:color="auto" w:fill="auto"/>
          </w:tcPr>
          <w:p w:rsidR="002C2460" w:rsidRPr="003F4F8C" w:rsidRDefault="002C2460" w:rsidP="00126044">
            <w:pPr>
              <w:rPr>
                <w:rFonts w:ascii="CorpoS" w:hAnsi="CorpoS"/>
                <w:b/>
                <w:sz w:val="22"/>
                <w:szCs w:val="22"/>
                <w:lang w:val="de-DE"/>
              </w:rPr>
            </w:pPr>
            <w:r w:rsidRPr="00944CD8">
              <w:rPr>
                <w:rFonts w:ascii="CorpoS" w:hAnsi="CorpoS"/>
                <w:b/>
                <w:sz w:val="22"/>
                <w:szCs w:val="22"/>
                <w:lang w:val="de-DE"/>
              </w:rPr>
              <w:t xml:space="preserve">MTU </w:t>
            </w:r>
            <w:proofErr w:type="spellStart"/>
            <w:r w:rsidRPr="003F4F8C">
              <w:rPr>
                <w:rFonts w:ascii="CorpoS" w:hAnsi="CorpoS"/>
                <w:b/>
                <w:sz w:val="22"/>
                <w:szCs w:val="22"/>
                <w:lang w:val="de-DE"/>
              </w:rPr>
              <w:t>Aero</w:t>
            </w:r>
            <w:proofErr w:type="spellEnd"/>
            <w:r w:rsidRPr="003F4F8C">
              <w:rPr>
                <w:rFonts w:ascii="CorpoS" w:hAnsi="CorpoS"/>
                <w:b/>
                <w:sz w:val="22"/>
                <w:szCs w:val="22"/>
                <w:lang w:val="de-DE"/>
              </w:rPr>
              <w:t xml:space="preserve"> </w:t>
            </w:r>
            <w:proofErr w:type="spellStart"/>
            <w:r w:rsidRPr="003F4F8C">
              <w:rPr>
                <w:rFonts w:ascii="CorpoS" w:hAnsi="CorpoS"/>
                <w:b/>
                <w:sz w:val="22"/>
                <w:szCs w:val="22"/>
                <w:lang w:val="de-DE"/>
              </w:rPr>
              <w:t>Engines</w:t>
            </w:r>
            <w:proofErr w:type="spellEnd"/>
          </w:p>
          <w:p w:rsidR="002C2460" w:rsidRPr="003F4F8C" w:rsidRDefault="002C2460" w:rsidP="00126044">
            <w:pPr>
              <w:rPr>
                <w:rFonts w:ascii="CorpoS" w:hAnsi="CorpoS"/>
                <w:b/>
                <w:sz w:val="22"/>
                <w:szCs w:val="22"/>
                <w:lang w:val="de-DE"/>
              </w:rPr>
            </w:pPr>
          </w:p>
        </w:tc>
        <w:tc>
          <w:tcPr>
            <w:tcW w:w="1134" w:type="dxa"/>
            <w:tcBorders>
              <w:left w:val="single" w:sz="4" w:space="0" w:color="auto"/>
              <w:right w:val="single" w:sz="4" w:space="0" w:color="auto"/>
            </w:tcBorders>
          </w:tcPr>
          <w:p w:rsidR="002C2460" w:rsidRPr="00944CD8" w:rsidRDefault="002C2460" w:rsidP="00944CD8">
            <w:pPr>
              <w:jc w:val="right"/>
              <w:rPr>
                <w:rFonts w:ascii="CorpoS" w:hAnsi="CorpoS"/>
                <w:b/>
                <w:sz w:val="22"/>
                <w:szCs w:val="22"/>
                <w:lang w:val="de-DE"/>
              </w:rPr>
            </w:pPr>
            <w:r w:rsidRPr="00944CD8">
              <w:rPr>
                <w:rFonts w:ascii="CorpoS" w:hAnsi="CorpoS"/>
                <w:b/>
                <w:sz w:val="22"/>
                <w:szCs w:val="22"/>
                <w:lang w:val="de-DE"/>
              </w:rPr>
              <w:t>Q3 201</w:t>
            </w:r>
            <w:r w:rsidR="00944CD8" w:rsidRPr="00944CD8">
              <w:rPr>
                <w:rFonts w:ascii="CorpoS" w:hAnsi="CorpoS"/>
                <w:b/>
                <w:sz w:val="22"/>
                <w:szCs w:val="22"/>
                <w:lang w:val="de-DE"/>
              </w:rPr>
              <w:t>8</w:t>
            </w:r>
          </w:p>
        </w:tc>
        <w:tc>
          <w:tcPr>
            <w:tcW w:w="1134" w:type="dxa"/>
            <w:tcBorders>
              <w:left w:val="single" w:sz="4" w:space="0" w:color="auto"/>
              <w:right w:val="single" w:sz="18" w:space="0" w:color="auto"/>
            </w:tcBorders>
          </w:tcPr>
          <w:p w:rsidR="002C2460" w:rsidRPr="00944CD8" w:rsidRDefault="002C2460" w:rsidP="00944CD8">
            <w:pPr>
              <w:jc w:val="right"/>
              <w:rPr>
                <w:rFonts w:ascii="CorpoS" w:hAnsi="CorpoS"/>
                <w:b/>
                <w:sz w:val="22"/>
                <w:szCs w:val="22"/>
                <w:lang w:val="de-DE"/>
              </w:rPr>
            </w:pPr>
            <w:r w:rsidRPr="00944CD8">
              <w:rPr>
                <w:rFonts w:ascii="CorpoS" w:hAnsi="CorpoS"/>
                <w:b/>
                <w:sz w:val="22"/>
                <w:szCs w:val="22"/>
                <w:lang w:val="de-DE"/>
              </w:rPr>
              <w:t>Q3 201</w:t>
            </w:r>
            <w:r w:rsidR="00944CD8" w:rsidRPr="00944CD8">
              <w:rPr>
                <w:rFonts w:ascii="CorpoS" w:hAnsi="CorpoS"/>
                <w:b/>
                <w:sz w:val="22"/>
                <w:szCs w:val="22"/>
                <w:lang w:val="de-DE"/>
              </w:rPr>
              <w:t>9</w:t>
            </w:r>
          </w:p>
        </w:tc>
        <w:tc>
          <w:tcPr>
            <w:tcW w:w="1276" w:type="dxa"/>
            <w:tcBorders>
              <w:top w:val="single" w:sz="18" w:space="0" w:color="auto"/>
              <w:left w:val="single" w:sz="18" w:space="0" w:color="auto"/>
            </w:tcBorders>
            <w:shd w:val="clear" w:color="auto" w:fill="auto"/>
          </w:tcPr>
          <w:p w:rsidR="002C2460" w:rsidRPr="00944CD8" w:rsidRDefault="002C2460" w:rsidP="00126044">
            <w:pPr>
              <w:jc w:val="right"/>
              <w:rPr>
                <w:rFonts w:ascii="CorpoS" w:hAnsi="CorpoS"/>
                <w:b/>
                <w:sz w:val="22"/>
                <w:szCs w:val="22"/>
                <w:lang w:val="de-DE"/>
              </w:rPr>
            </w:pPr>
            <w:r w:rsidRPr="00944CD8">
              <w:rPr>
                <w:rFonts w:ascii="CorpoS" w:hAnsi="CorpoS"/>
                <w:b/>
                <w:sz w:val="22"/>
                <w:szCs w:val="22"/>
                <w:lang w:val="de-DE"/>
              </w:rPr>
              <w:t xml:space="preserve">per </w:t>
            </w:r>
            <w:r w:rsidR="00FC24C7" w:rsidRPr="00944CD8">
              <w:rPr>
                <w:rFonts w:ascii="CorpoS" w:hAnsi="CorpoS"/>
                <w:b/>
                <w:sz w:val="22"/>
                <w:szCs w:val="22"/>
                <w:lang w:val="de-DE"/>
              </w:rPr>
              <w:t>Sept. 201</w:t>
            </w:r>
            <w:r w:rsidR="00944CD8" w:rsidRPr="00944CD8">
              <w:rPr>
                <w:rFonts w:ascii="CorpoS" w:hAnsi="CorpoS"/>
                <w:b/>
                <w:sz w:val="22"/>
                <w:szCs w:val="22"/>
                <w:lang w:val="de-DE"/>
              </w:rPr>
              <w:t>8</w:t>
            </w:r>
          </w:p>
          <w:p w:rsidR="002C2460" w:rsidRPr="00944CD8"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rsidR="002C2460" w:rsidRPr="00944CD8" w:rsidRDefault="002C2460" w:rsidP="002C2460">
            <w:pPr>
              <w:jc w:val="right"/>
              <w:rPr>
                <w:rFonts w:ascii="CorpoS" w:hAnsi="CorpoS"/>
                <w:b/>
                <w:sz w:val="22"/>
                <w:szCs w:val="22"/>
                <w:lang w:val="de-DE"/>
              </w:rPr>
            </w:pPr>
            <w:r w:rsidRPr="00944CD8">
              <w:rPr>
                <w:rFonts w:ascii="CorpoS" w:hAnsi="CorpoS"/>
                <w:b/>
                <w:sz w:val="22"/>
                <w:szCs w:val="22"/>
                <w:lang w:val="de-DE"/>
              </w:rPr>
              <w:t>per Sept. 201</w:t>
            </w:r>
            <w:r w:rsidR="00944CD8" w:rsidRPr="00944CD8">
              <w:rPr>
                <w:rFonts w:ascii="CorpoS" w:hAnsi="CorpoS"/>
                <w:b/>
                <w:sz w:val="22"/>
                <w:szCs w:val="22"/>
                <w:lang w:val="de-DE"/>
              </w:rPr>
              <w:t>9</w:t>
            </w:r>
          </w:p>
        </w:tc>
        <w:tc>
          <w:tcPr>
            <w:tcW w:w="1418" w:type="dxa"/>
            <w:tcBorders>
              <w:top w:val="single" w:sz="18" w:space="0" w:color="auto"/>
              <w:right w:val="single" w:sz="18" w:space="0" w:color="auto"/>
            </w:tcBorders>
            <w:shd w:val="clear" w:color="auto" w:fill="auto"/>
          </w:tcPr>
          <w:p w:rsidR="002C2460" w:rsidRPr="00944CD8" w:rsidRDefault="002C2460" w:rsidP="00126044">
            <w:pPr>
              <w:ind w:right="33"/>
              <w:rPr>
                <w:rFonts w:ascii="CorpoS" w:hAnsi="CorpoS"/>
                <w:b/>
                <w:sz w:val="22"/>
                <w:szCs w:val="22"/>
                <w:lang w:val="de-DE"/>
              </w:rPr>
            </w:pPr>
            <w:r w:rsidRPr="00944CD8">
              <w:rPr>
                <w:rFonts w:ascii="CorpoS" w:hAnsi="CorpoS"/>
                <w:b/>
                <w:sz w:val="22"/>
                <w:szCs w:val="22"/>
                <w:lang w:val="de-DE"/>
              </w:rPr>
              <w:t>Veränderung</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lang w:val="de-DE"/>
              </w:rPr>
            </w:pPr>
            <w:r w:rsidRPr="008651D1">
              <w:rPr>
                <w:rFonts w:ascii="CorpoS" w:hAnsi="CorpoS"/>
                <w:sz w:val="22"/>
                <w:szCs w:val="22"/>
                <w:lang w:val="de-DE"/>
              </w:rPr>
              <w:t>Umsatz</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lang w:val="de-DE" w:eastAsia="zh-CN"/>
              </w:rPr>
            </w:pPr>
            <w:r>
              <w:rPr>
                <w:rFonts w:ascii="CorpoS" w:hAnsi="CorpoS" w:cs="Arial"/>
                <w:sz w:val="22"/>
                <w:szCs w:val="22"/>
              </w:rPr>
              <w:t>1.170,1</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1.160,7</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lang w:val="de-DE" w:eastAsia="zh-CN"/>
              </w:rPr>
            </w:pPr>
            <w:r>
              <w:rPr>
                <w:rFonts w:ascii="CorpoS" w:hAnsi="CorpoS" w:cs="Arial"/>
                <w:sz w:val="22"/>
                <w:szCs w:val="22"/>
              </w:rPr>
              <w:t>3.318,7</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3.403,7</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+ 2,6%</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lang w:val="de-DE"/>
              </w:rPr>
            </w:pPr>
            <w:r w:rsidRPr="008651D1">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454,3</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472,4</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1.340,1</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1.461,4</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+ 9,1%</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lang w:val="de-DE"/>
              </w:rPr>
              <w:t xml:space="preserve">          davon ziviles </w:t>
            </w:r>
            <w:proofErr w:type="spellStart"/>
            <w:r w:rsidRPr="008651D1">
              <w:rPr>
                <w:rFonts w:ascii="CorpoS" w:hAnsi="CorpoS"/>
                <w:sz w:val="22"/>
                <w:szCs w:val="22"/>
                <w:lang w:val="de-DE"/>
              </w:rPr>
              <w:t>Triebwerksg</w:t>
            </w:r>
            <w:r w:rsidRPr="008651D1">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350,0</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364,8</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1.037,0</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1.137,8</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+ 9,7%</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 xml:space="preserve">          </w:t>
            </w:r>
            <w:proofErr w:type="spellStart"/>
            <w:r w:rsidRPr="008651D1">
              <w:rPr>
                <w:rFonts w:ascii="CorpoS" w:hAnsi="CorpoS"/>
                <w:sz w:val="22"/>
                <w:szCs w:val="22"/>
              </w:rPr>
              <w:t>davon</w:t>
            </w:r>
            <w:proofErr w:type="spellEnd"/>
            <w:r w:rsidRPr="008651D1">
              <w:rPr>
                <w:rFonts w:ascii="CorpoS" w:hAnsi="CorpoS"/>
                <w:sz w:val="22"/>
                <w:szCs w:val="22"/>
              </w:rPr>
              <w:t xml:space="preserve"> </w:t>
            </w:r>
            <w:proofErr w:type="spellStart"/>
            <w:r w:rsidRPr="008651D1">
              <w:rPr>
                <w:rFonts w:ascii="CorpoS" w:hAnsi="CorpoS"/>
                <w:sz w:val="22"/>
                <w:szCs w:val="22"/>
              </w:rPr>
              <w:t>milit</w:t>
            </w:r>
            <w:proofErr w:type="spellEnd"/>
            <w:r w:rsidRPr="008651D1">
              <w:rPr>
                <w:rFonts w:ascii="CorpoS" w:hAnsi="CorpoS"/>
                <w:sz w:val="22"/>
                <w:szCs w:val="22"/>
              </w:rPr>
              <w:t xml:space="preserve">. </w:t>
            </w:r>
            <w:proofErr w:type="spellStart"/>
            <w:r w:rsidRPr="008651D1">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104,3</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107,6</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303,1</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323,6</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+ 6,8%</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 xml:space="preserve">   </w:t>
            </w:r>
            <w:proofErr w:type="spellStart"/>
            <w:r w:rsidRPr="008651D1">
              <w:rPr>
                <w:rFonts w:ascii="CorpoS" w:hAnsi="CorpoS"/>
                <w:sz w:val="22"/>
                <w:szCs w:val="22"/>
              </w:rPr>
              <w:t>davon</w:t>
            </w:r>
            <w:proofErr w:type="spellEnd"/>
            <w:r w:rsidRPr="008651D1">
              <w:rPr>
                <w:rFonts w:ascii="CorpoS" w:hAnsi="CorpoS"/>
                <w:sz w:val="22"/>
                <w:szCs w:val="22"/>
              </w:rPr>
              <w:t xml:space="preserve"> </w:t>
            </w:r>
            <w:proofErr w:type="spellStart"/>
            <w:r w:rsidRPr="008651D1">
              <w:rPr>
                <w:rFonts w:ascii="CorpoS" w:hAnsi="CorpoS"/>
                <w:sz w:val="22"/>
                <w:szCs w:val="22"/>
              </w:rPr>
              <w:t>zivile</w:t>
            </w:r>
            <w:proofErr w:type="spellEnd"/>
            <w:r w:rsidRPr="008651D1">
              <w:rPr>
                <w:rFonts w:ascii="CorpoS" w:hAnsi="CorpoS"/>
                <w:sz w:val="22"/>
                <w:szCs w:val="22"/>
              </w:rPr>
              <w:t xml:space="preserve"> </w:t>
            </w:r>
            <w:proofErr w:type="spellStart"/>
            <w:r w:rsidRPr="008651D1">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731,2</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708,6</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2.019,7</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1.995,9</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- 1,2%</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EBIT (</w:t>
            </w:r>
            <w:proofErr w:type="spellStart"/>
            <w:r w:rsidRPr="008651D1">
              <w:rPr>
                <w:rFonts w:ascii="CorpoS" w:hAnsi="CorpoS"/>
                <w:sz w:val="22"/>
                <w:szCs w:val="22"/>
              </w:rPr>
              <w:t>bereinigt</w:t>
            </w:r>
            <w:proofErr w:type="spellEnd"/>
            <w:r w:rsidRPr="008651D1">
              <w:rPr>
                <w:rFonts w:ascii="CorpoS" w:hAnsi="CorpoS"/>
                <w:sz w:val="22"/>
                <w:szCs w:val="22"/>
              </w:rPr>
              <w:t>)</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174,3</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192,5</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508,9</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557,7</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+ 9,6%</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 xml:space="preserve">   </w:t>
            </w:r>
            <w:proofErr w:type="spellStart"/>
            <w:r w:rsidRPr="008651D1">
              <w:rPr>
                <w:rFonts w:ascii="CorpoS" w:hAnsi="CorpoS"/>
                <w:sz w:val="22"/>
                <w:szCs w:val="22"/>
              </w:rPr>
              <w:t>davon</w:t>
            </w:r>
            <w:proofErr w:type="spellEnd"/>
            <w:r w:rsidRPr="008651D1">
              <w:rPr>
                <w:rFonts w:ascii="CorpoS" w:hAnsi="CorpoS"/>
                <w:sz w:val="22"/>
                <w:szCs w:val="22"/>
              </w:rPr>
              <w:t xml:space="preserve"> OEM-</w:t>
            </w:r>
            <w:proofErr w:type="spellStart"/>
            <w:r w:rsidRPr="008651D1">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111,8</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127,4</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340,7</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369,9</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+ 8,6%</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 xml:space="preserve">   </w:t>
            </w:r>
            <w:proofErr w:type="spellStart"/>
            <w:r w:rsidRPr="008651D1">
              <w:rPr>
                <w:rFonts w:ascii="CorpoS" w:hAnsi="CorpoS"/>
                <w:sz w:val="22"/>
                <w:szCs w:val="22"/>
              </w:rPr>
              <w:t>davon</w:t>
            </w:r>
            <w:proofErr w:type="spellEnd"/>
            <w:r w:rsidRPr="008651D1">
              <w:rPr>
                <w:rFonts w:ascii="CorpoS" w:hAnsi="CorpoS"/>
                <w:sz w:val="22"/>
                <w:szCs w:val="22"/>
              </w:rPr>
              <w:t xml:space="preserve"> </w:t>
            </w:r>
            <w:proofErr w:type="spellStart"/>
            <w:r w:rsidRPr="008651D1">
              <w:rPr>
                <w:rFonts w:ascii="CorpoS" w:hAnsi="CorpoS"/>
                <w:sz w:val="22"/>
                <w:szCs w:val="22"/>
              </w:rPr>
              <w:t>zivile</w:t>
            </w:r>
            <w:proofErr w:type="spellEnd"/>
            <w:r w:rsidRPr="008651D1">
              <w:rPr>
                <w:rFonts w:ascii="CorpoS" w:hAnsi="CorpoS"/>
                <w:sz w:val="22"/>
                <w:szCs w:val="22"/>
              </w:rPr>
              <w:t xml:space="preserve"> </w:t>
            </w:r>
            <w:proofErr w:type="spellStart"/>
            <w:r w:rsidRPr="008651D1">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62,4</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65,1</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167,9</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187,4</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+ 11,6%</w:t>
            </w:r>
          </w:p>
        </w:tc>
      </w:tr>
      <w:tr w:rsidR="00257EED" w:rsidRPr="0090767E" w:rsidDel="0033104F" w:rsidTr="00126044">
        <w:tc>
          <w:tcPr>
            <w:tcW w:w="3969" w:type="dxa"/>
            <w:tcBorders>
              <w:right w:val="single" w:sz="4" w:space="0" w:color="auto"/>
            </w:tcBorders>
            <w:shd w:val="clear" w:color="auto" w:fill="auto"/>
          </w:tcPr>
          <w:p w:rsidR="00257EED" w:rsidRPr="008651D1" w:rsidRDefault="00257EED" w:rsidP="00257EED">
            <w:pPr>
              <w:rPr>
                <w:rFonts w:ascii="CorpoS" w:hAnsi="CorpoS"/>
                <w:i/>
                <w:sz w:val="22"/>
                <w:szCs w:val="22"/>
              </w:rPr>
            </w:pPr>
            <w:r w:rsidRPr="008651D1">
              <w:rPr>
                <w:rFonts w:ascii="CorpoS" w:hAnsi="CorpoS"/>
                <w:i/>
                <w:sz w:val="22"/>
                <w:szCs w:val="22"/>
              </w:rPr>
              <w:t>EBIT-Marge (</w:t>
            </w:r>
            <w:proofErr w:type="spellStart"/>
            <w:r w:rsidRPr="008651D1">
              <w:rPr>
                <w:rFonts w:ascii="CorpoS" w:hAnsi="CorpoS"/>
                <w:i/>
                <w:sz w:val="22"/>
                <w:szCs w:val="22"/>
              </w:rPr>
              <w:t>bereinigt</w:t>
            </w:r>
            <w:proofErr w:type="spellEnd"/>
            <w:r w:rsidRPr="008651D1">
              <w:rPr>
                <w:rFonts w:ascii="CorpoS" w:hAnsi="CorpoS"/>
                <w:i/>
                <w:sz w:val="22"/>
                <w:szCs w:val="22"/>
              </w:rPr>
              <w:t>)</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14,9%</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16,6%</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15,3%</w:t>
            </w:r>
          </w:p>
        </w:tc>
        <w:tc>
          <w:tcPr>
            <w:tcW w:w="1276" w:type="dxa"/>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16,4%</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 </w:t>
            </w:r>
          </w:p>
        </w:tc>
      </w:tr>
      <w:tr w:rsidR="00257EED" w:rsidRPr="0090767E" w:rsidDel="0033104F" w:rsidTr="00126044">
        <w:tc>
          <w:tcPr>
            <w:tcW w:w="3969" w:type="dxa"/>
            <w:tcBorders>
              <w:right w:val="single" w:sz="4" w:space="0" w:color="auto"/>
            </w:tcBorders>
            <w:shd w:val="clear" w:color="auto" w:fill="auto"/>
          </w:tcPr>
          <w:p w:rsidR="00257EED" w:rsidRPr="008651D1" w:rsidRDefault="00257EED" w:rsidP="00257EED">
            <w:pPr>
              <w:tabs>
                <w:tab w:val="left" w:pos="176"/>
              </w:tabs>
              <w:rPr>
                <w:rFonts w:ascii="CorpoS" w:hAnsi="CorpoS"/>
                <w:i/>
                <w:sz w:val="22"/>
                <w:szCs w:val="22"/>
              </w:rPr>
            </w:pPr>
            <w:r w:rsidRPr="008651D1">
              <w:rPr>
                <w:rFonts w:ascii="CorpoS" w:hAnsi="CorpoS"/>
                <w:i/>
                <w:sz w:val="22"/>
                <w:szCs w:val="22"/>
              </w:rPr>
              <w:t xml:space="preserve">   </w:t>
            </w:r>
            <w:proofErr w:type="spellStart"/>
            <w:r w:rsidRPr="008651D1">
              <w:rPr>
                <w:rFonts w:ascii="CorpoS" w:hAnsi="CorpoS"/>
                <w:i/>
                <w:sz w:val="22"/>
                <w:szCs w:val="22"/>
              </w:rPr>
              <w:t>im</w:t>
            </w:r>
            <w:proofErr w:type="spellEnd"/>
            <w:r w:rsidRPr="008651D1">
              <w:rPr>
                <w:rFonts w:ascii="CorpoS" w:hAnsi="CorpoS"/>
                <w:i/>
                <w:sz w:val="22"/>
                <w:szCs w:val="22"/>
              </w:rPr>
              <w:t xml:space="preserve"> OEM-</w:t>
            </w:r>
            <w:proofErr w:type="spellStart"/>
            <w:r w:rsidRPr="008651D1">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24,6%</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27,0%</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25,4%</w:t>
            </w:r>
          </w:p>
        </w:tc>
        <w:tc>
          <w:tcPr>
            <w:tcW w:w="1276" w:type="dxa"/>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25,3%</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 </w:t>
            </w:r>
          </w:p>
        </w:tc>
      </w:tr>
      <w:tr w:rsidR="00257EED" w:rsidRPr="0090767E" w:rsidDel="0033104F" w:rsidTr="00126044">
        <w:tc>
          <w:tcPr>
            <w:tcW w:w="3969" w:type="dxa"/>
            <w:tcBorders>
              <w:right w:val="single" w:sz="4" w:space="0" w:color="auto"/>
            </w:tcBorders>
            <w:shd w:val="clear" w:color="auto" w:fill="auto"/>
          </w:tcPr>
          <w:p w:rsidR="00257EED" w:rsidRPr="008651D1" w:rsidRDefault="00257EED" w:rsidP="00257EED">
            <w:pPr>
              <w:rPr>
                <w:rFonts w:ascii="CorpoS" w:hAnsi="CorpoS"/>
                <w:i/>
                <w:sz w:val="22"/>
                <w:szCs w:val="22"/>
              </w:rPr>
            </w:pPr>
            <w:r w:rsidRPr="008651D1">
              <w:rPr>
                <w:rFonts w:ascii="CorpoS" w:hAnsi="CorpoS"/>
                <w:i/>
                <w:sz w:val="22"/>
                <w:szCs w:val="22"/>
              </w:rPr>
              <w:t xml:space="preserve">   in der </w:t>
            </w:r>
            <w:proofErr w:type="spellStart"/>
            <w:r w:rsidRPr="008651D1">
              <w:rPr>
                <w:rFonts w:ascii="CorpoS" w:hAnsi="CorpoS"/>
                <w:i/>
                <w:sz w:val="22"/>
                <w:szCs w:val="22"/>
              </w:rPr>
              <w:t>zivilen</w:t>
            </w:r>
            <w:proofErr w:type="spellEnd"/>
            <w:r w:rsidRPr="008651D1">
              <w:rPr>
                <w:rFonts w:ascii="CorpoS" w:hAnsi="CorpoS"/>
                <w:i/>
                <w:sz w:val="22"/>
                <w:szCs w:val="22"/>
              </w:rPr>
              <w:t xml:space="preserve"> </w:t>
            </w:r>
            <w:proofErr w:type="spellStart"/>
            <w:r w:rsidRPr="008651D1">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8,5%</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9,2%</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8,3%</w:t>
            </w:r>
          </w:p>
        </w:tc>
        <w:tc>
          <w:tcPr>
            <w:tcW w:w="1276" w:type="dxa"/>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9,4%</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 </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Net Income (</w:t>
            </w:r>
            <w:proofErr w:type="spellStart"/>
            <w:r w:rsidRPr="008651D1">
              <w:rPr>
                <w:rFonts w:ascii="CorpoS" w:hAnsi="CorpoS"/>
                <w:sz w:val="22"/>
                <w:szCs w:val="22"/>
              </w:rPr>
              <w:t>bereinigt</w:t>
            </w:r>
            <w:proofErr w:type="spellEnd"/>
            <w:r w:rsidRPr="008651D1">
              <w:rPr>
                <w:rFonts w:ascii="CorpoS" w:hAnsi="CorpoS"/>
                <w:sz w:val="22"/>
                <w:szCs w:val="22"/>
              </w:rPr>
              <w:t>)</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125,8</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130,7</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362,8</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391,7</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+ 8,0%</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Net Income (reported)</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118,3</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125,5</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336,8</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354,8</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+ 5,3%</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lang w:val="de-DE"/>
              </w:rPr>
            </w:pPr>
            <w:r w:rsidRPr="008651D1">
              <w:rPr>
                <w:rFonts w:ascii="CorpoS" w:hAnsi="CorpoS"/>
                <w:sz w:val="22"/>
                <w:szCs w:val="22"/>
                <w:lang w:val="de-DE"/>
              </w:rPr>
              <w:t>Ergebnis je Aktie (</w:t>
            </w:r>
            <w:proofErr w:type="spellStart"/>
            <w:r w:rsidRPr="008651D1">
              <w:rPr>
                <w:rFonts w:ascii="CorpoS" w:hAnsi="CorpoS"/>
                <w:sz w:val="22"/>
                <w:szCs w:val="22"/>
                <w:lang w:val="de-DE"/>
              </w:rPr>
              <w:t>unverwässert</w:t>
            </w:r>
            <w:proofErr w:type="spellEnd"/>
            <w:r w:rsidRPr="008651D1">
              <w:rPr>
                <w:rFonts w:ascii="CorpoS" w:hAnsi="CorpoS"/>
                <w:sz w:val="22"/>
                <w:szCs w:val="22"/>
                <w:lang w:val="de-DE"/>
              </w:rPr>
              <w:t xml:space="preserve">, </w:t>
            </w:r>
            <w:proofErr w:type="spellStart"/>
            <w:r w:rsidRPr="008651D1">
              <w:rPr>
                <w:rFonts w:ascii="CorpoS" w:hAnsi="CorpoS"/>
                <w:sz w:val="22"/>
                <w:szCs w:val="22"/>
                <w:lang w:val="de-DE"/>
              </w:rPr>
              <w:t>reported</w:t>
            </w:r>
            <w:proofErr w:type="spellEnd"/>
            <w:r w:rsidRPr="008651D1">
              <w:rPr>
                <w:rFonts w:ascii="CorpoS" w:hAnsi="CorpoS"/>
                <w:sz w:val="22"/>
                <w:szCs w:val="22"/>
                <w:lang w:val="de-DE"/>
              </w:rPr>
              <w:t>)</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color w:val="000000"/>
                <w:sz w:val="22"/>
                <w:szCs w:val="22"/>
              </w:rPr>
            </w:pPr>
            <w:r>
              <w:rPr>
                <w:rFonts w:ascii="CorpoS" w:hAnsi="CorpoS" w:cs="Arial"/>
                <w:color w:val="000000"/>
                <w:sz w:val="22"/>
                <w:szCs w:val="22"/>
              </w:rPr>
              <w:t>2,25</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color w:val="000000"/>
                <w:sz w:val="22"/>
                <w:szCs w:val="22"/>
              </w:rPr>
            </w:pPr>
            <w:r>
              <w:rPr>
                <w:rFonts w:ascii="CorpoS" w:hAnsi="CorpoS" w:cs="Arial"/>
                <w:color w:val="000000"/>
                <w:sz w:val="22"/>
                <w:szCs w:val="22"/>
              </w:rPr>
              <w:t>2,41</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color w:val="000000"/>
                <w:sz w:val="22"/>
                <w:szCs w:val="22"/>
              </w:rPr>
            </w:pPr>
            <w:r>
              <w:rPr>
                <w:rFonts w:ascii="CorpoS" w:hAnsi="CorpoS" w:cs="Arial"/>
                <w:color w:val="000000"/>
                <w:sz w:val="22"/>
                <w:szCs w:val="22"/>
              </w:rPr>
              <w:t>6,44</w:t>
            </w:r>
          </w:p>
        </w:tc>
        <w:tc>
          <w:tcPr>
            <w:tcW w:w="1276" w:type="dxa"/>
            <w:shd w:val="clear" w:color="auto" w:fill="auto"/>
            <w:vAlign w:val="center"/>
          </w:tcPr>
          <w:p w:rsidR="00257EED" w:rsidRDefault="00257EED" w:rsidP="00257EED">
            <w:pPr>
              <w:ind w:firstLineChars="100" w:firstLine="220"/>
              <w:jc w:val="right"/>
              <w:rPr>
                <w:rFonts w:ascii="CorpoS" w:hAnsi="CorpoS" w:cs="Arial"/>
                <w:color w:val="000000"/>
                <w:sz w:val="22"/>
                <w:szCs w:val="22"/>
              </w:rPr>
            </w:pPr>
            <w:r>
              <w:rPr>
                <w:rFonts w:ascii="CorpoS" w:hAnsi="CorpoS" w:cs="Arial"/>
                <w:color w:val="000000"/>
                <w:sz w:val="22"/>
                <w:szCs w:val="22"/>
              </w:rPr>
              <w:t>6,76</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color w:val="000000"/>
                <w:sz w:val="22"/>
                <w:szCs w:val="22"/>
              </w:rPr>
            </w:pPr>
            <w:r>
              <w:rPr>
                <w:rFonts w:ascii="CorpoS" w:hAnsi="CorpoS" w:cs="Arial"/>
                <w:color w:val="000000"/>
                <w:sz w:val="22"/>
                <w:szCs w:val="22"/>
              </w:rPr>
              <w:t>+ 5,0%</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rPr>
              <w:t xml:space="preserve">Free </w:t>
            </w:r>
            <w:proofErr w:type="spellStart"/>
            <w:r w:rsidRPr="008651D1">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30,6</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67,1</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163,3</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302,5</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+ 85,2%</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lang w:val="de-DE"/>
              </w:rPr>
            </w:pPr>
            <w:r w:rsidRPr="008651D1">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48,5</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54,7</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147,7</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166,7</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+ 12,9%</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lang w:val="de-DE"/>
              </w:rPr>
            </w:pPr>
            <w:r w:rsidRPr="008651D1">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44,6</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48,4</w:t>
            </w:r>
          </w:p>
        </w:tc>
        <w:tc>
          <w:tcPr>
            <w:tcW w:w="1276" w:type="dxa"/>
            <w:tcBorders>
              <w:lef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131,9</w:t>
            </w:r>
          </w:p>
        </w:tc>
        <w:tc>
          <w:tcPr>
            <w:tcW w:w="1276" w:type="dxa"/>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144,2</w:t>
            </w:r>
          </w:p>
        </w:tc>
        <w:tc>
          <w:tcPr>
            <w:tcW w:w="1418" w:type="dxa"/>
            <w:tcBorders>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+ 9,3%</w:t>
            </w:r>
          </w:p>
        </w:tc>
      </w:tr>
      <w:tr w:rsidR="00257EED" w:rsidRPr="0090767E" w:rsidTr="00126044">
        <w:tc>
          <w:tcPr>
            <w:tcW w:w="3969" w:type="dxa"/>
            <w:tcBorders>
              <w:bottom w:val="single" w:sz="4" w:space="0" w:color="auto"/>
              <w:right w:val="single" w:sz="4" w:space="0" w:color="auto"/>
            </w:tcBorders>
            <w:shd w:val="clear" w:color="auto" w:fill="auto"/>
          </w:tcPr>
          <w:p w:rsidR="00257EED" w:rsidRPr="008651D1" w:rsidRDefault="00257EED" w:rsidP="00257EED">
            <w:pPr>
              <w:rPr>
                <w:rFonts w:ascii="CorpoS" w:hAnsi="CorpoS"/>
                <w:sz w:val="22"/>
                <w:szCs w:val="22"/>
              </w:rPr>
            </w:pPr>
            <w:r w:rsidRPr="008651D1">
              <w:rPr>
                <w:rFonts w:ascii="CorpoS" w:hAnsi="CorpoS"/>
                <w:sz w:val="22"/>
                <w:szCs w:val="22"/>
                <w:lang w:val="de-DE"/>
              </w:rPr>
              <w:t xml:space="preserve">   davon f</w:t>
            </w:r>
            <w:proofErr w:type="spellStart"/>
            <w:r w:rsidRPr="008651D1">
              <w:rPr>
                <w:rFonts w:ascii="CorpoS" w:hAnsi="CorpoS"/>
                <w:sz w:val="22"/>
                <w:szCs w:val="22"/>
              </w:rPr>
              <w:t>remdfinanzierte</w:t>
            </w:r>
            <w:proofErr w:type="spellEnd"/>
            <w:r w:rsidRPr="008651D1">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3,9</w:t>
            </w:r>
          </w:p>
        </w:tc>
        <w:tc>
          <w:tcPr>
            <w:tcW w:w="1134" w:type="dxa"/>
            <w:tcBorders>
              <w:left w:val="single" w:sz="4" w:space="0" w:color="auto"/>
              <w:bottom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6,4</w:t>
            </w:r>
          </w:p>
        </w:tc>
        <w:tc>
          <w:tcPr>
            <w:tcW w:w="1276" w:type="dxa"/>
            <w:tcBorders>
              <w:left w:val="single" w:sz="18" w:space="0" w:color="auto"/>
              <w:bottom w:val="single" w:sz="4"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15,8</w:t>
            </w:r>
          </w:p>
        </w:tc>
        <w:tc>
          <w:tcPr>
            <w:tcW w:w="1276" w:type="dxa"/>
            <w:tcBorders>
              <w:bottom w:val="single" w:sz="4"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22,5</w:t>
            </w:r>
          </w:p>
        </w:tc>
        <w:tc>
          <w:tcPr>
            <w:tcW w:w="1418" w:type="dxa"/>
            <w:tcBorders>
              <w:bottom w:val="single" w:sz="4" w:space="0" w:color="auto"/>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+ 42,4%</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sz w:val="22"/>
                <w:szCs w:val="22"/>
                <w:lang w:val="de-DE"/>
              </w:rPr>
            </w:pPr>
            <w:r w:rsidRPr="008651D1">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16,2</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17,0</w:t>
            </w:r>
          </w:p>
        </w:tc>
        <w:tc>
          <w:tcPr>
            <w:tcW w:w="1276" w:type="dxa"/>
            <w:tcBorders>
              <w:left w:val="single" w:sz="18" w:space="0" w:color="auto"/>
              <w:bottom w:val="single" w:sz="4"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42,6</w:t>
            </w:r>
          </w:p>
        </w:tc>
        <w:tc>
          <w:tcPr>
            <w:tcW w:w="1276" w:type="dxa"/>
            <w:tcBorders>
              <w:bottom w:val="single" w:sz="4"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45,4</w:t>
            </w:r>
          </w:p>
        </w:tc>
        <w:tc>
          <w:tcPr>
            <w:tcW w:w="1418" w:type="dxa"/>
            <w:tcBorders>
              <w:bottom w:val="single" w:sz="4" w:space="0" w:color="auto"/>
              <w:right w:val="single" w:sz="18" w:space="0" w:color="auto"/>
            </w:tcBorders>
            <w:shd w:val="clear" w:color="auto" w:fill="auto"/>
            <w:vAlign w:val="center"/>
          </w:tcPr>
          <w:p w:rsidR="00257EED" w:rsidRDefault="00257EED" w:rsidP="00257EED">
            <w:pPr>
              <w:ind w:firstLineChars="100" w:firstLine="220"/>
              <w:jc w:val="right"/>
              <w:rPr>
                <w:rFonts w:ascii="CorpoS" w:hAnsi="CorpoS" w:cs="Arial"/>
                <w:i/>
                <w:iCs/>
                <w:sz w:val="22"/>
                <w:szCs w:val="22"/>
              </w:rPr>
            </w:pPr>
            <w:r>
              <w:rPr>
                <w:rFonts w:ascii="CorpoS" w:hAnsi="CorpoS" w:cs="Arial"/>
                <w:i/>
                <w:iCs/>
                <w:sz w:val="22"/>
                <w:szCs w:val="22"/>
              </w:rPr>
              <w:t>+ 6,6%</w:t>
            </w:r>
          </w:p>
        </w:tc>
      </w:tr>
      <w:tr w:rsidR="00257EED" w:rsidRPr="0090767E" w:rsidTr="00126044">
        <w:tc>
          <w:tcPr>
            <w:tcW w:w="3969" w:type="dxa"/>
            <w:tcBorders>
              <w:right w:val="single" w:sz="4" w:space="0" w:color="auto"/>
            </w:tcBorders>
            <w:shd w:val="clear" w:color="auto" w:fill="auto"/>
          </w:tcPr>
          <w:p w:rsidR="00257EED" w:rsidRPr="008651D1" w:rsidRDefault="00594932" w:rsidP="00594932">
            <w:pPr>
              <w:rPr>
                <w:rFonts w:ascii="CorpoS" w:hAnsi="CorpoS"/>
                <w:sz w:val="22"/>
                <w:szCs w:val="22"/>
              </w:rPr>
            </w:pPr>
            <w:proofErr w:type="spellStart"/>
            <w:r>
              <w:rPr>
                <w:rFonts w:ascii="CorpoS" w:hAnsi="CorpoS"/>
                <w:sz w:val="22"/>
                <w:szCs w:val="22"/>
              </w:rPr>
              <w:t>Nett</w:t>
            </w:r>
            <w:r w:rsidR="00F00FFF">
              <w:rPr>
                <w:rFonts w:ascii="CorpoS" w:hAnsi="CorpoS"/>
                <w:sz w:val="22"/>
                <w:szCs w:val="22"/>
              </w:rPr>
              <w:t>o</w:t>
            </w:r>
            <w:r>
              <w:rPr>
                <w:rFonts w:ascii="CorpoS" w:hAnsi="CorpoS"/>
                <w:sz w:val="22"/>
                <w:szCs w:val="22"/>
              </w:rPr>
              <w:t>-Auszahlungen</w:t>
            </w:r>
            <w:proofErr w:type="spellEnd"/>
            <w:r>
              <w:rPr>
                <w:rFonts w:ascii="CorpoS" w:hAnsi="CorpoS"/>
                <w:sz w:val="22"/>
                <w:szCs w:val="22"/>
              </w:rPr>
              <w:t xml:space="preserve"> </w:t>
            </w:r>
            <w:r w:rsidR="00257EED" w:rsidRPr="008651D1">
              <w:rPr>
                <w:rFonts w:ascii="CorpoS" w:hAnsi="CorpoS"/>
                <w:sz w:val="22"/>
                <w:szCs w:val="22"/>
              </w:rPr>
              <w:t xml:space="preserve">in </w:t>
            </w:r>
            <w:proofErr w:type="spellStart"/>
            <w:r w:rsidR="00257EED" w:rsidRPr="008651D1">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45,2</w:t>
            </w:r>
          </w:p>
        </w:tc>
        <w:tc>
          <w:tcPr>
            <w:tcW w:w="1134" w:type="dxa"/>
            <w:tcBorders>
              <w:left w:val="single" w:sz="4" w:space="0" w:color="auto"/>
              <w:right w:val="single" w:sz="18" w:space="0" w:color="auto"/>
            </w:tcBorders>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67,0</w:t>
            </w:r>
          </w:p>
        </w:tc>
        <w:tc>
          <w:tcPr>
            <w:tcW w:w="1276" w:type="dxa"/>
            <w:tcBorders>
              <w:left w:val="single" w:sz="18" w:space="0" w:color="auto"/>
              <w:bottom w:val="single" w:sz="4"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134,0</w:t>
            </w:r>
          </w:p>
        </w:tc>
        <w:tc>
          <w:tcPr>
            <w:tcW w:w="1276" w:type="dxa"/>
            <w:tcBorders>
              <w:bottom w:val="single" w:sz="4"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166,0</w:t>
            </w:r>
          </w:p>
        </w:tc>
        <w:tc>
          <w:tcPr>
            <w:tcW w:w="1418" w:type="dxa"/>
            <w:tcBorders>
              <w:bottom w:val="single" w:sz="4" w:space="0" w:color="auto"/>
              <w:right w:val="single" w:sz="18" w:space="0" w:color="auto"/>
            </w:tcBorders>
            <w:shd w:val="clear" w:color="auto" w:fill="auto"/>
            <w:vAlign w:val="center"/>
          </w:tcPr>
          <w:p w:rsidR="00257EED" w:rsidRDefault="00257EED" w:rsidP="00257EED">
            <w:pPr>
              <w:ind w:firstLineChars="100" w:firstLine="220"/>
              <w:jc w:val="right"/>
              <w:rPr>
                <w:rFonts w:ascii="CorpoS" w:hAnsi="CorpoS" w:cs="Arial"/>
                <w:sz w:val="22"/>
                <w:szCs w:val="22"/>
              </w:rPr>
            </w:pPr>
            <w:r>
              <w:rPr>
                <w:rFonts w:ascii="CorpoS" w:hAnsi="CorpoS" w:cs="Arial"/>
                <w:sz w:val="22"/>
                <w:szCs w:val="22"/>
              </w:rPr>
              <w:t>+ 23,9%</w:t>
            </w:r>
          </w:p>
        </w:tc>
      </w:tr>
      <w:tr w:rsidR="0090767E" w:rsidRPr="0090767E" w:rsidTr="00126044">
        <w:trPr>
          <w:trHeight w:val="81"/>
        </w:trPr>
        <w:tc>
          <w:tcPr>
            <w:tcW w:w="6237" w:type="dxa"/>
            <w:gridSpan w:val="3"/>
            <w:tcBorders>
              <w:right w:val="single" w:sz="18" w:space="0" w:color="auto"/>
            </w:tcBorders>
            <w:shd w:val="clear" w:color="auto" w:fill="auto"/>
          </w:tcPr>
          <w:p w:rsidR="002C2460" w:rsidRPr="008651D1"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90767E" w:rsidRDefault="002C2460" w:rsidP="00126044">
            <w:pPr>
              <w:ind w:right="33"/>
              <w:jc w:val="right"/>
              <w:rPr>
                <w:rFonts w:ascii="CorpoS" w:hAnsi="CorpoS"/>
                <w:b/>
                <w:color w:val="FF0000"/>
                <w:sz w:val="8"/>
                <w:szCs w:val="8"/>
              </w:rPr>
            </w:pPr>
          </w:p>
        </w:tc>
      </w:tr>
      <w:tr w:rsidR="00944CD8" w:rsidRPr="00944CD8" w:rsidTr="00126044">
        <w:tc>
          <w:tcPr>
            <w:tcW w:w="3969" w:type="dxa"/>
            <w:tcBorders>
              <w:right w:val="single" w:sz="4" w:space="0" w:color="auto"/>
            </w:tcBorders>
            <w:shd w:val="clear" w:color="auto" w:fill="auto"/>
          </w:tcPr>
          <w:p w:rsidR="002C2460" w:rsidRPr="008651D1" w:rsidRDefault="002C2460" w:rsidP="00126044">
            <w:pPr>
              <w:rPr>
                <w:rFonts w:ascii="CorpoS" w:hAnsi="CorpoS"/>
                <w:sz w:val="22"/>
                <w:szCs w:val="22"/>
              </w:rPr>
            </w:pPr>
          </w:p>
        </w:tc>
        <w:tc>
          <w:tcPr>
            <w:tcW w:w="1134" w:type="dxa"/>
            <w:tcBorders>
              <w:left w:val="single" w:sz="4" w:space="0" w:color="auto"/>
              <w:right w:val="single" w:sz="4" w:space="0" w:color="auto"/>
            </w:tcBorders>
          </w:tcPr>
          <w:p w:rsidR="002C2460" w:rsidRPr="00944CD8"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Pr="00944CD8"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944CD8" w:rsidRDefault="002C2460" w:rsidP="00944CD8">
            <w:pPr>
              <w:jc w:val="right"/>
              <w:rPr>
                <w:rFonts w:ascii="CorpoS" w:hAnsi="CorpoS"/>
                <w:b/>
                <w:sz w:val="22"/>
                <w:szCs w:val="22"/>
              </w:rPr>
            </w:pPr>
            <w:r w:rsidRPr="00944CD8">
              <w:rPr>
                <w:rFonts w:ascii="CorpoS" w:hAnsi="CorpoS"/>
                <w:b/>
                <w:sz w:val="22"/>
                <w:szCs w:val="22"/>
              </w:rPr>
              <w:t xml:space="preserve">31. </w:t>
            </w:r>
            <w:proofErr w:type="spellStart"/>
            <w:r w:rsidRPr="00944CD8">
              <w:rPr>
                <w:rFonts w:ascii="CorpoS" w:hAnsi="CorpoS"/>
                <w:b/>
                <w:sz w:val="22"/>
                <w:szCs w:val="22"/>
              </w:rPr>
              <w:t>Dez</w:t>
            </w:r>
            <w:proofErr w:type="spellEnd"/>
            <w:r w:rsidRPr="00944CD8">
              <w:rPr>
                <w:rFonts w:ascii="CorpoS" w:hAnsi="CorpoS"/>
                <w:b/>
                <w:sz w:val="22"/>
                <w:szCs w:val="22"/>
              </w:rPr>
              <w:t>. 201</w:t>
            </w:r>
            <w:r w:rsidR="00944CD8" w:rsidRPr="00944CD8">
              <w:rPr>
                <w:rFonts w:ascii="CorpoS" w:hAnsi="CorpoS"/>
                <w:b/>
                <w:sz w:val="22"/>
                <w:szCs w:val="22"/>
              </w:rPr>
              <w:t>8</w:t>
            </w:r>
          </w:p>
        </w:tc>
        <w:tc>
          <w:tcPr>
            <w:tcW w:w="1276" w:type="dxa"/>
            <w:tcBorders>
              <w:bottom w:val="single" w:sz="4" w:space="0" w:color="auto"/>
            </w:tcBorders>
            <w:shd w:val="clear" w:color="auto" w:fill="auto"/>
          </w:tcPr>
          <w:p w:rsidR="002C2460" w:rsidRPr="00944CD8" w:rsidRDefault="002C2460" w:rsidP="002C2460">
            <w:pPr>
              <w:jc w:val="right"/>
              <w:rPr>
                <w:rFonts w:ascii="CorpoS" w:hAnsi="CorpoS"/>
                <w:b/>
                <w:sz w:val="22"/>
                <w:szCs w:val="22"/>
                <w:lang w:val="de-DE"/>
              </w:rPr>
            </w:pPr>
            <w:r w:rsidRPr="00944CD8">
              <w:rPr>
                <w:rFonts w:ascii="CorpoS" w:hAnsi="CorpoS"/>
                <w:b/>
                <w:sz w:val="22"/>
                <w:szCs w:val="22"/>
                <w:lang w:val="de-DE"/>
              </w:rPr>
              <w:t>30. Sept. 201</w:t>
            </w:r>
            <w:r w:rsidR="00944CD8" w:rsidRPr="00944CD8">
              <w:rPr>
                <w:rFonts w:ascii="CorpoS" w:hAnsi="CorpoS"/>
                <w:b/>
                <w:sz w:val="22"/>
                <w:szCs w:val="22"/>
                <w:lang w:val="de-DE"/>
              </w:rPr>
              <w:t>9</w:t>
            </w:r>
          </w:p>
        </w:tc>
        <w:tc>
          <w:tcPr>
            <w:tcW w:w="1418" w:type="dxa"/>
            <w:tcBorders>
              <w:bottom w:val="single" w:sz="4" w:space="0" w:color="auto"/>
              <w:right w:val="single" w:sz="18" w:space="0" w:color="auto"/>
            </w:tcBorders>
            <w:shd w:val="clear" w:color="auto" w:fill="auto"/>
          </w:tcPr>
          <w:p w:rsidR="002C2460" w:rsidRPr="00944CD8" w:rsidRDefault="002C2460" w:rsidP="00126044">
            <w:pPr>
              <w:ind w:right="33"/>
              <w:rPr>
                <w:rFonts w:ascii="CorpoS" w:hAnsi="CorpoS"/>
                <w:b/>
                <w:sz w:val="22"/>
                <w:szCs w:val="22"/>
                <w:lang w:val="de-DE"/>
              </w:rPr>
            </w:pPr>
            <w:proofErr w:type="spellStart"/>
            <w:r w:rsidRPr="00944CD8">
              <w:rPr>
                <w:rFonts w:ascii="CorpoS" w:hAnsi="CorpoS"/>
                <w:b/>
                <w:sz w:val="22"/>
                <w:szCs w:val="22"/>
                <w:lang w:val="de-DE"/>
              </w:rPr>
              <w:t>Verände-rung</w:t>
            </w:r>
            <w:proofErr w:type="spellEnd"/>
          </w:p>
        </w:tc>
      </w:tr>
      <w:tr w:rsidR="0090767E" w:rsidRPr="0090767E" w:rsidTr="00126044">
        <w:tc>
          <w:tcPr>
            <w:tcW w:w="3969" w:type="dxa"/>
            <w:tcBorders>
              <w:right w:val="single" w:sz="4" w:space="0" w:color="auto"/>
            </w:tcBorders>
            <w:shd w:val="clear" w:color="auto" w:fill="auto"/>
          </w:tcPr>
          <w:p w:rsidR="002C2460" w:rsidRPr="008651D1" w:rsidRDefault="002C2460" w:rsidP="00126044">
            <w:pPr>
              <w:rPr>
                <w:rFonts w:ascii="CorpoS" w:hAnsi="CorpoS"/>
                <w:b/>
                <w:sz w:val="22"/>
                <w:szCs w:val="22"/>
                <w:lang w:val="de-DE"/>
              </w:rPr>
            </w:pPr>
            <w:r w:rsidRPr="008651D1">
              <w:rPr>
                <w:rFonts w:ascii="CorpoS" w:hAnsi="CorpoS"/>
                <w:b/>
                <w:sz w:val="22"/>
                <w:szCs w:val="22"/>
                <w:lang w:val="de-DE"/>
              </w:rPr>
              <w:t>Bilanz-Kennzahlen</w:t>
            </w:r>
          </w:p>
        </w:tc>
        <w:tc>
          <w:tcPr>
            <w:tcW w:w="1134" w:type="dxa"/>
            <w:tcBorders>
              <w:left w:val="single" w:sz="4" w:space="0" w:color="auto"/>
              <w:right w:val="single" w:sz="4" w:space="0" w:color="auto"/>
            </w:tcBorders>
          </w:tcPr>
          <w:p w:rsidR="002C2460" w:rsidRPr="00257EED" w:rsidRDefault="002C2460" w:rsidP="00126044">
            <w:pPr>
              <w:jc w:val="right"/>
              <w:rPr>
                <w:rFonts w:ascii="CorpoS" w:hAnsi="CorpoS"/>
                <w:sz w:val="22"/>
                <w:szCs w:val="22"/>
                <w:lang w:val="de-DE"/>
              </w:rPr>
            </w:pPr>
          </w:p>
        </w:tc>
        <w:tc>
          <w:tcPr>
            <w:tcW w:w="1134" w:type="dxa"/>
            <w:tcBorders>
              <w:left w:val="single" w:sz="4" w:space="0" w:color="auto"/>
              <w:right w:val="single" w:sz="18" w:space="0" w:color="auto"/>
            </w:tcBorders>
          </w:tcPr>
          <w:p w:rsidR="002C2460" w:rsidRPr="00257EED" w:rsidRDefault="002C2460"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2C2460" w:rsidRPr="00257EED" w:rsidRDefault="002C2460" w:rsidP="00126044">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2C2460" w:rsidRPr="00257EED" w:rsidRDefault="002C2460" w:rsidP="00126044">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2C2460" w:rsidRPr="00257EED" w:rsidRDefault="002C2460" w:rsidP="00126044">
            <w:pPr>
              <w:ind w:right="33"/>
              <w:jc w:val="right"/>
              <w:rPr>
                <w:rFonts w:ascii="CorpoS" w:hAnsi="CorpoS"/>
                <w:sz w:val="22"/>
                <w:szCs w:val="22"/>
                <w:lang w:val="de-DE"/>
              </w:rPr>
            </w:pP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ind w:firstLine="176"/>
              <w:rPr>
                <w:rFonts w:ascii="CorpoS" w:hAnsi="CorpoS"/>
                <w:sz w:val="22"/>
                <w:szCs w:val="22"/>
                <w:lang w:val="de-DE"/>
              </w:rPr>
            </w:pPr>
            <w:r w:rsidRPr="008651D1">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lang w:val="de-DE" w:eastAsia="zh-CN"/>
              </w:rPr>
            </w:pPr>
            <w:r w:rsidRPr="00257EED">
              <w:rPr>
                <w:rFonts w:ascii="CorpoS" w:hAnsi="CorpoS" w:cs="Arial"/>
                <w:sz w:val="22"/>
                <w:szCs w:val="22"/>
              </w:rPr>
              <w:t>1.072,7</w:t>
            </w:r>
          </w:p>
        </w:tc>
        <w:tc>
          <w:tcPr>
            <w:tcW w:w="1276" w:type="dxa"/>
            <w:tcBorders>
              <w:top w:val="single" w:sz="4"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1.125,3</w:t>
            </w:r>
          </w:p>
        </w:tc>
        <w:tc>
          <w:tcPr>
            <w:tcW w:w="1418" w:type="dxa"/>
            <w:tcBorders>
              <w:top w:val="single" w:sz="4" w:space="0" w:color="auto"/>
              <w:bottom w:val="single" w:sz="4"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+ 4,9%</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ind w:left="176"/>
              <w:rPr>
                <w:rFonts w:ascii="CorpoS" w:hAnsi="CorpoS"/>
                <w:sz w:val="22"/>
                <w:szCs w:val="22"/>
                <w:lang w:val="de-DE"/>
              </w:rPr>
            </w:pPr>
            <w:r w:rsidRPr="008651D1">
              <w:rPr>
                <w:rFonts w:ascii="CorpoS" w:hAnsi="CorpoS"/>
                <w:sz w:val="22"/>
                <w:szCs w:val="22"/>
                <w:lang w:val="de-DE"/>
              </w:rPr>
              <w:t>Zahlungsmittel und Zahlungsmittel-äquivalente</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99,0</w:t>
            </w:r>
          </w:p>
        </w:tc>
        <w:tc>
          <w:tcPr>
            <w:tcW w:w="1276" w:type="dxa"/>
            <w:tcBorders>
              <w:top w:val="single" w:sz="4"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132,8</w:t>
            </w:r>
          </w:p>
        </w:tc>
        <w:tc>
          <w:tcPr>
            <w:tcW w:w="1418" w:type="dxa"/>
            <w:tcBorders>
              <w:top w:val="single" w:sz="4" w:space="0" w:color="auto"/>
              <w:bottom w:val="single" w:sz="4"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+ 34,1%</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ind w:left="176"/>
              <w:rPr>
                <w:rFonts w:ascii="CorpoS" w:hAnsi="CorpoS"/>
                <w:sz w:val="22"/>
                <w:szCs w:val="22"/>
                <w:lang w:val="de-DE"/>
              </w:rPr>
            </w:pPr>
            <w:r w:rsidRPr="008651D1">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879,0</w:t>
            </w:r>
          </w:p>
        </w:tc>
        <w:tc>
          <w:tcPr>
            <w:tcW w:w="1276" w:type="dxa"/>
            <w:tcBorders>
              <w:top w:val="single" w:sz="4"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991,4</w:t>
            </w:r>
          </w:p>
        </w:tc>
        <w:tc>
          <w:tcPr>
            <w:tcW w:w="1418" w:type="dxa"/>
            <w:tcBorders>
              <w:top w:val="single" w:sz="4" w:space="0" w:color="auto"/>
              <w:bottom w:val="single" w:sz="4"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+ 12,8%</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ind w:left="176"/>
              <w:rPr>
                <w:rFonts w:ascii="CorpoS" w:hAnsi="CorpoS"/>
                <w:sz w:val="22"/>
                <w:szCs w:val="22"/>
                <w:lang w:val="de-DE"/>
              </w:rPr>
            </w:pPr>
            <w:r w:rsidRPr="008651D1">
              <w:rPr>
                <w:rFonts w:ascii="CorpoS" w:hAnsi="CorpoS"/>
                <w:sz w:val="22"/>
                <w:szCs w:val="22"/>
                <w:lang w:val="de-DE"/>
              </w:rPr>
              <w:t>Eigenkapital</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2.144,2</w:t>
            </w:r>
          </w:p>
        </w:tc>
        <w:tc>
          <w:tcPr>
            <w:tcW w:w="1276" w:type="dxa"/>
            <w:tcBorders>
              <w:top w:val="single" w:sz="4"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2.091,5</w:t>
            </w:r>
          </w:p>
        </w:tc>
        <w:tc>
          <w:tcPr>
            <w:tcW w:w="1418" w:type="dxa"/>
            <w:tcBorders>
              <w:top w:val="single" w:sz="4" w:space="0" w:color="auto"/>
              <w:bottom w:val="single" w:sz="4"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- 2,5%</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ind w:left="176"/>
              <w:rPr>
                <w:rFonts w:ascii="CorpoS" w:hAnsi="CorpoS"/>
                <w:sz w:val="22"/>
                <w:szCs w:val="22"/>
                <w:lang w:val="de-DE"/>
              </w:rPr>
            </w:pPr>
            <w:r w:rsidRPr="008651D1">
              <w:rPr>
                <w:rFonts w:ascii="CorpoS" w:hAnsi="CorpoS"/>
                <w:sz w:val="22"/>
                <w:szCs w:val="22"/>
                <w:lang w:val="de-DE"/>
              </w:rPr>
              <w:t>Netto-Finanzverschuldung</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854,0</w:t>
            </w:r>
          </w:p>
        </w:tc>
        <w:tc>
          <w:tcPr>
            <w:tcW w:w="1276" w:type="dxa"/>
            <w:tcBorders>
              <w:top w:val="single" w:sz="4"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1.111,0</w:t>
            </w:r>
          </w:p>
        </w:tc>
        <w:tc>
          <w:tcPr>
            <w:tcW w:w="1418" w:type="dxa"/>
            <w:tcBorders>
              <w:top w:val="single" w:sz="4" w:space="0" w:color="auto"/>
              <w:bottom w:val="single" w:sz="4"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+ 30,1%</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ind w:left="176"/>
              <w:rPr>
                <w:rFonts w:ascii="CorpoS" w:hAnsi="CorpoS"/>
                <w:sz w:val="22"/>
                <w:szCs w:val="22"/>
                <w:lang w:val="de-DE"/>
              </w:rPr>
            </w:pPr>
            <w:r w:rsidRPr="008651D1">
              <w:rPr>
                <w:rFonts w:ascii="CorpoS" w:hAnsi="CorpoS"/>
                <w:sz w:val="22"/>
                <w:szCs w:val="22"/>
                <w:lang w:val="de-DE"/>
              </w:rPr>
              <w:t>Bilanzsumme</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6.850,8</w:t>
            </w:r>
          </w:p>
        </w:tc>
        <w:tc>
          <w:tcPr>
            <w:tcW w:w="1276" w:type="dxa"/>
            <w:tcBorders>
              <w:top w:val="single" w:sz="4"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7.571,4</w:t>
            </w:r>
          </w:p>
        </w:tc>
        <w:tc>
          <w:tcPr>
            <w:tcW w:w="1418" w:type="dxa"/>
            <w:tcBorders>
              <w:top w:val="single" w:sz="4" w:space="0" w:color="auto"/>
              <w:bottom w:val="single" w:sz="4"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+ 10,5%</w:t>
            </w:r>
          </w:p>
        </w:tc>
      </w:tr>
      <w:tr w:rsidR="0090767E" w:rsidRPr="0090767E" w:rsidTr="00126044">
        <w:trPr>
          <w:trHeight w:val="50"/>
        </w:trPr>
        <w:tc>
          <w:tcPr>
            <w:tcW w:w="3969" w:type="dxa"/>
            <w:tcBorders>
              <w:right w:val="single" w:sz="4" w:space="0" w:color="auto"/>
            </w:tcBorders>
            <w:shd w:val="clear" w:color="auto" w:fill="auto"/>
          </w:tcPr>
          <w:p w:rsidR="002C2460" w:rsidRPr="008651D1"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257EED"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257EED"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257EED"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257EED"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257EED" w:rsidRDefault="00105968" w:rsidP="00126044">
            <w:pPr>
              <w:ind w:firstLineChars="100" w:firstLine="80"/>
              <w:jc w:val="right"/>
              <w:rPr>
                <w:rFonts w:ascii="CorpoS" w:hAnsi="CorpoS" w:cs="Arial"/>
                <w:sz w:val="8"/>
                <w:szCs w:val="8"/>
              </w:rPr>
            </w:pPr>
            <w:r w:rsidRPr="00257EED">
              <w:rPr>
                <w:rFonts w:ascii="CorpoS" w:hAnsi="CorpoS" w:cs="Arial"/>
                <w:sz w:val="8"/>
                <w:szCs w:val="8"/>
              </w:rPr>
              <w:t xml:space="preserve"> </w:t>
            </w:r>
            <w:r w:rsidR="002C2460" w:rsidRPr="00257EED">
              <w:rPr>
                <w:rFonts w:ascii="CorpoS" w:hAnsi="CorpoS" w:cs="Arial"/>
                <w:sz w:val="8"/>
                <w:szCs w:val="8"/>
              </w:rPr>
              <w:t xml:space="preserve"> </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b/>
                <w:sz w:val="22"/>
                <w:szCs w:val="22"/>
                <w:lang w:val="de-DE"/>
              </w:rPr>
            </w:pPr>
            <w:r w:rsidRPr="008651D1">
              <w:rPr>
                <w:rFonts w:ascii="CorpoS" w:hAnsi="CorpoS"/>
                <w:b/>
                <w:sz w:val="22"/>
                <w:szCs w:val="22"/>
                <w:lang w:val="de-DE"/>
              </w:rPr>
              <w:t>Auftragsbestand</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lang w:val="de-DE" w:eastAsia="zh-CN"/>
              </w:rPr>
            </w:pPr>
            <w:r w:rsidRPr="00257EED">
              <w:rPr>
                <w:rFonts w:ascii="CorpoS" w:hAnsi="CorpoS" w:cs="Arial"/>
                <w:sz w:val="22"/>
                <w:szCs w:val="22"/>
              </w:rPr>
              <w:t>17.572,8</w:t>
            </w:r>
          </w:p>
        </w:tc>
        <w:tc>
          <w:tcPr>
            <w:tcW w:w="1276" w:type="dxa"/>
            <w:tcBorders>
              <w:top w:val="single" w:sz="4" w:space="0" w:color="auto"/>
              <w:bottom w:val="single" w:sz="4"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20.803,8</w:t>
            </w:r>
          </w:p>
        </w:tc>
        <w:tc>
          <w:tcPr>
            <w:tcW w:w="1418" w:type="dxa"/>
            <w:tcBorders>
              <w:top w:val="single" w:sz="4" w:space="0" w:color="auto"/>
              <w:bottom w:val="single" w:sz="4"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+ 18,4%</w:t>
            </w:r>
          </w:p>
        </w:tc>
      </w:tr>
      <w:tr w:rsidR="0090767E" w:rsidRPr="0090767E" w:rsidTr="00126044">
        <w:trPr>
          <w:cantSplit/>
          <w:trHeight w:val="20"/>
        </w:trPr>
        <w:tc>
          <w:tcPr>
            <w:tcW w:w="3969" w:type="dxa"/>
            <w:tcBorders>
              <w:right w:val="single" w:sz="4" w:space="0" w:color="auto"/>
            </w:tcBorders>
            <w:shd w:val="clear" w:color="auto" w:fill="auto"/>
          </w:tcPr>
          <w:p w:rsidR="002C2460" w:rsidRPr="008651D1"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257EED"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257EED"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257EED" w:rsidRDefault="002C2460" w:rsidP="00126044">
            <w:pPr>
              <w:ind w:firstLineChars="100" w:firstLine="80"/>
              <w:jc w:val="right"/>
              <w:rPr>
                <w:rFonts w:ascii="CorpoS" w:hAnsi="CorpoS" w:cs="Arial"/>
                <w:sz w:val="8"/>
                <w:szCs w:val="8"/>
              </w:rPr>
            </w:pPr>
            <w:r w:rsidRPr="00257EED">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257EED" w:rsidRDefault="002C2460" w:rsidP="00126044">
            <w:pPr>
              <w:ind w:firstLineChars="100" w:firstLine="80"/>
              <w:jc w:val="right"/>
              <w:rPr>
                <w:rFonts w:ascii="CorpoS" w:hAnsi="CorpoS" w:cs="Arial"/>
                <w:sz w:val="8"/>
                <w:szCs w:val="8"/>
              </w:rPr>
            </w:pPr>
            <w:r w:rsidRPr="00257EED">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257EED" w:rsidRDefault="002C2460" w:rsidP="00126044">
            <w:pPr>
              <w:ind w:firstLineChars="100" w:firstLine="80"/>
              <w:jc w:val="right"/>
              <w:rPr>
                <w:rFonts w:ascii="CorpoS" w:hAnsi="CorpoS" w:cs="Arial"/>
                <w:sz w:val="8"/>
                <w:szCs w:val="8"/>
              </w:rPr>
            </w:pPr>
            <w:r w:rsidRPr="00257EED">
              <w:rPr>
                <w:rFonts w:ascii="CorpoS" w:hAnsi="CorpoS" w:cs="Arial"/>
                <w:sz w:val="8"/>
                <w:szCs w:val="8"/>
              </w:rPr>
              <w:t xml:space="preserve">  </w:t>
            </w:r>
          </w:p>
        </w:tc>
      </w:tr>
      <w:tr w:rsidR="00257EED" w:rsidRPr="0090767E" w:rsidTr="00126044">
        <w:tc>
          <w:tcPr>
            <w:tcW w:w="3969" w:type="dxa"/>
            <w:tcBorders>
              <w:right w:val="single" w:sz="4" w:space="0" w:color="auto"/>
            </w:tcBorders>
            <w:shd w:val="clear" w:color="auto" w:fill="auto"/>
          </w:tcPr>
          <w:p w:rsidR="00257EED" w:rsidRPr="008651D1" w:rsidRDefault="00257EED" w:rsidP="00257EED">
            <w:pPr>
              <w:rPr>
                <w:rFonts w:ascii="CorpoS" w:hAnsi="CorpoS"/>
                <w:b/>
                <w:sz w:val="22"/>
                <w:szCs w:val="22"/>
                <w:lang w:val="de-DE"/>
              </w:rPr>
            </w:pPr>
            <w:r w:rsidRPr="008651D1">
              <w:rPr>
                <w:rFonts w:ascii="CorpoS" w:hAnsi="CorpoS"/>
                <w:b/>
                <w:sz w:val="22"/>
                <w:szCs w:val="22"/>
                <w:lang w:val="de-DE"/>
              </w:rPr>
              <w:t>Mitarbeiter</w:t>
            </w:r>
          </w:p>
        </w:tc>
        <w:tc>
          <w:tcPr>
            <w:tcW w:w="1134" w:type="dxa"/>
            <w:tcBorders>
              <w:left w:val="single" w:sz="4" w:space="0" w:color="auto"/>
              <w:right w:val="single" w:sz="4" w:space="0" w:color="auto"/>
            </w:tcBorders>
          </w:tcPr>
          <w:p w:rsidR="00257EED" w:rsidRPr="00257EED" w:rsidRDefault="00257EED" w:rsidP="00257EED">
            <w:pPr>
              <w:jc w:val="right"/>
              <w:rPr>
                <w:rFonts w:ascii="CorpoS" w:hAnsi="CorpoS"/>
                <w:sz w:val="22"/>
                <w:szCs w:val="22"/>
                <w:lang w:val="de-DE"/>
              </w:rPr>
            </w:pPr>
          </w:p>
        </w:tc>
        <w:tc>
          <w:tcPr>
            <w:tcW w:w="1134" w:type="dxa"/>
            <w:tcBorders>
              <w:left w:val="single" w:sz="4" w:space="0" w:color="auto"/>
              <w:right w:val="single" w:sz="18" w:space="0" w:color="auto"/>
            </w:tcBorders>
          </w:tcPr>
          <w:p w:rsidR="00257EED" w:rsidRPr="00257EED" w:rsidRDefault="00257EED" w:rsidP="00257EED">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lang w:val="de-DE" w:eastAsia="zh-CN"/>
              </w:rPr>
            </w:pPr>
            <w:r w:rsidRPr="00257EED">
              <w:rPr>
                <w:rFonts w:ascii="CorpoS" w:hAnsi="CorpoS" w:cs="Arial"/>
                <w:sz w:val="22"/>
                <w:szCs w:val="22"/>
              </w:rPr>
              <w:t>9.731</w:t>
            </w:r>
          </w:p>
        </w:tc>
        <w:tc>
          <w:tcPr>
            <w:tcW w:w="1276" w:type="dxa"/>
            <w:tcBorders>
              <w:top w:val="single" w:sz="4" w:space="0" w:color="auto"/>
              <w:bottom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10.500</w:t>
            </w:r>
          </w:p>
        </w:tc>
        <w:tc>
          <w:tcPr>
            <w:tcW w:w="1418" w:type="dxa"/>
            <w:tcBorders>
              <w:top w:val="single" w:sz="4" w:space="0" w:color="auto"/>
              <w:bottom w:val="single" w:sz="18" w:space="0" w:color="auto"/>
              <w:right w:val="single" w:sz="18" w:space="0" w:color="auto"/>
            </w:tcBorders>
            <w:shd w:val="clear" w:color="auto" w:fill="auto"/>
            <w:vAlign w:val="center"/>
          </w:tcPr>
          <w:p w:rsidR="00257EED" w:rsidRPr="00257EED" w:rsidRDefault="00257EED" w:rsidP="00257EED">
            <w:pPr>
              <w:ind w:firstLineChars="100" w:firstLine="220"/>
              <w:jc w:val="right"/>
              <w:rPr>
                <w:rFonts w:ascii="CorpoS" w:hAnsi="CorpoS" w:cs="Arial"/>
                <w:sz w:val="22"/>
                <w:szCs w:val="22"/>
              </w:rPr>
            </w:pPr>
            <w:r w:rsidRPr="00257EED">
              <w:rPr>
                <w:rFonts w:ascii="CorpoS" w:hAnsi="CorpoS" w:cs="Arial"/>
                <w:sz w:val="22"/>
                <w:szCs w:val="22"/>
              </w:rPr>
              <w:t>+ 7,9%</w:t>
            </w:r>
          </w:p>
        </w:tc>
      </w:tr>
    </w:tbl>
    <w:p w:rsidR="002C2460" w:rsidRDefault="002C2460" w:rsidP="00766743">
      <w:pPr>
        <w:ind w:right="1984"/>
        <w:jc w:val="both"/>
        <w:rPr>
          <w:rFonts w:ascii="CorpoS" w:hAnsi="CorpoS"/>
          <w:lang w:val="de-DE"/>
        </w:rPr>
      </w:pPr>
    </w:p>
    <w:p w:rsidR="008A23C6" w:rsidRDefault="008A23C6" w:rsidP="00C51A14">
      <w:pPr>
        <w:ind w:right="1984"/>
        <w:jc w:val="both"/>
        <w:rPr>
          <w:rFonts w:ascii="CorpoS" w:hAnsi="CorpoS"/>
          <w:b/>
          <w:sz w:val="20"/>
          <w:u w:val="single"/>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 xml:space="preserve">Über die MTU </w:t>
      </w:r>
      <w:proofErr w:type="spellStart"/>
      <w:r w:rsidRPr="004E6EA9">
        <w:rPr>
          <w:rFonts w:ascii="CorpoS" w:hAnsi="CorpoS"/>
          <w:b/>
          <w:sz w:val="20"/>
          <w:u w:val="single"/>
          <w:lang w:val="de-DE"/>
        </w:rPr>
        <w:t>Aero</w:t>
      </w:r>
      <w:proofErr w:type="spellEnd"/>
      <w:r w:rsidRPr="004E6EA9">
        <w:rPr>
          <w:rFonts w:ascii="CorpoS" w:hAnsi="CorpoS"/>
          <w:b/>
          <w:sz w:val="20"/>
          <w:u w:val="single"/>
          <w:lang w:val="de-DE"/>
        </w:rPr>
        <w:t xml:space="preserve"> </w:t>
      </w:r>
      <w:proofErr w:type="spellStart"/>
      <w:r w:rsidRPr="004E6EA9">
        <w:rPr>
          <w:rFonts w:ascii="CorpoS" w:hAnsi="CorpoS"/>
          <w:b/>
          <w:sz w:val="20"/>
          <w:u w:val="single"/>
          <w:lang w:val="de-DE"/>
        </w:rPr>
        <w:t>Engines</w:t>
      </w:r>
      <w:proofErr w:type="spellEnd"/>
    </w:p>
    <w:p w:rsidR="00C914C3" w:rsidRDefault="00A1460F" w:rsidP="00C914C3">
      <w:pPr>
        <w:ind w:right="424"/>
        <w:jc w:val="both"/>
        <w:rPr>
          <w:rFonts w:ascii="CorpoS" w:hAnsi="CorpoS"/>
          <w:sz w:val="20"/>
          <w:lang w:val="de-DE"/>
        </w:rPr>
      </w:pPr>
      <w:r w:rsidRPr="005D66B3">
        <w:rPr>
          <w:rFonts w:ascii="CorpoS" w:hAnsi="CorpoS"/>
          <w:sz w:val="20"/>
          <w:lang w:val="de-DE"/>
        </w:rPr>
        <w:t xml:space="preserve">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 xml:space="preserve">der Entwicklung, Fertigung </w:t>
      </w:r>
      <w:r w:rsidRPr="005D66B3">
        <w:rPr>
          <w:rFonts w:ascii="CorpoS" w:hAnsi="CorpoS"/>
          <w:sz w:val="20"/>
          <w:lang w:val="de-DE"/>
        </w:rPr>
        <w:lastRenderedPageBreak/>
        <w:t xml:space="preserve">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der Systempartner für fast alle Luftfahrtantriebe der Bundeswehr. Die MTU unterhält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r w:rsidR="00701B52">
        <w:fldChar w:fldCharType="begin"/>
      </w:r>
      <w:r w:rsidR="00701B52" w:rsidRPr="00701B52">
        <w:rPr>
          <w:lang w:val="de-DE"/>
        </w:rPr>
        <w:instrText xml:space="preserve"> HYPERLINK "http://www.mtu.de" </w:instrText>
      </w:r>
      <w:r w:rsidR="00701B52">
        <w:fldChar w:fldCharType="separate"/>
      </w:r>
      <w:r w:rsidRPr="004E6EA9">
        <w:rPr>
          <w:rStyle w:val="Hyperlink"/>
          <w:i/>
          <w:color w:val="auto"/>
          <w:lang w:val="de-DE"/>
        </w:rPr>
        <w:t>http://www.mtu.de</w:t>
      </w:r>
      <w:r w:rsidR="00701B52">
        <w:rPr>
          <w:rStyle w:val="Hyperlink"/>
          <w:i/>
          <w:color w:val="auto"/>
          <w:lang w:val="de-DE"/>
        </w:rPr>
        <w:fldChar w:fldCharType="end"/>
      </w:r>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D731CF" w:rsidP="00C51A14">
      <w:pPr>
        <w:ind w:right="283"/>
        <w:jc w:val="both"/>
        <w:rPr>
          <w:rFonts w:ascii="CorpoS" w:hAnsi="CorpoS"/>
          <w:b/>
          <w:sz w:val="22"/>
          <w:szCs w:val="22"/>
          <w:lang w:val="de-DE"/>
        </w:rPr>
      </w:pPr>
      <w:r>
        <w:rPr>
          <w:rFonts w:ascii="CorpoS" w:hAnsi="CorpoS"/>
          <w:sz w:val="16"/>
          <w:szCs w:val="16"/>
          <w:lang w:val="de-DE"/>
        </w:rPr>
        <w:t>Diese Quartals</w:t>
      </w:r>
      <w:r w:rsidR="00C51A14" w:rsidRPr="00135B9B">
        <w:rPr>
          <w:rFonts w:ascii="CorpoS" w:hAnsi="CorpoS"/>
          <w:sz w:val="16"/>
          <w:szCs w:val="16"/>
          <w:lang w:val="de-DE"/>
        </w:rPr>
        <w:t xml:space="preserve">mitteilung enthält </w:t>
      </w:r>
      <w:proofErr w:type="spellStart"/>
      <w:r w:rsidR="00C51A14" w:rsidRPr="00135B9B">
        <w:rPr>
          <w:rFonts w:ascii="CorpoS" w:hAnsi="CorpoS"/>
          <w:sz w:val="16"/>
          <w:szCs w:val="16"/>
          <w:lang w:val="de-DE"/>
        </w:rPr>
        <w:t>zukunftsgerichtete</w:t>
      </w:r>
      <w:proofErr w:type="spellEnd"/>
      <w:r w:rsidR="00C51A14"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00C51A14" w:rsidRPr="00135B9B">
        <w:rPr>
          <w:rFonts w:ascii="CorpoS" w:hAnsi="CorpoS"/>
          <w:sz w:val="16"/>
          <w:szCs w:val="16"/>
          <w:lang w:val="de-DE"/>
        </w:rPr>
        <w:t>Zukunftsgerichtete</w:t>
      </w:r>
      <w:proofErr w:type="spellEnd"/>
      <w:r w:rsidR="00C51A14"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sidR="00C51A14">
        <w:rPr>
          <w:rFonts w:ascii="CorpoS" w:hAnsi="CorpoS"/>
          <w:sz w:val="16"/>
          <w:szCs w:val="16"/>
          <w:lang w:val="de-DE"/>
        </w:rPr>
        <w:t xml:space="preserve">tuation, die </w:t>
      </w:r>
      <w:proofErr w:type="spellStart"/>
      <w:r w:rsidR="00C51A14">
        <w:rPr>
          <w:rFonts w:ascii="CorpoS" w:hAnsi="CorpoS"/>
          <w:sz w:val="16"/>
          <w:szCs w:val="16"/>
          <w:lang w:val="de-DE"/>
        </w:rPr>
        <w:t>Zykli</w:t>
      </w:r>
      <w:r w:rsidR="00C51A14" w:rsidRPr="00135B9B">
        <w:rPr>
          <w:rFonts w:ascii="CorpoS" w:hAnsi="CorpoS"/>
          <w:sz w:val="16"/>
          <w:szCs w:val="16"/>
          <w:lang w:val="de-DE"/>
        </w:rPr>
        <w:t>zität</w:t>
      </w:r>
      <w:proofErr w:type="spellEnd"/>
      <w:r w:rsidR="00C51A14"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90767E"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90767E">
                      <w:rPr>
                        <w:rFonts w:ascii="CorpoSLig" w:hAnsi="CorpoSLig"/>
                        <w:b/>
                        <w:sz w:val="32"/>
                        <w:szCs w:val="32"/>
                      </w:rPr>
                      <w:t>Quart</w:t>
                    </w:r>
                    <w:r w:rsidR="00C51A14" w:rsidRPr="0090767E">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441F"/>
    <w:rsid w:val="0000543C"/>
    <w:rsid w:val="00007718"/>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2DE3"/>
    <w:rsid w:val="000B67F6"/>
    <w:rsid w:val="000C07D5"/>
    <w:rsid w:val="000C09A7"/>
    <w:rsid w:val="000C0F63"/>
    <w:rsid w:val="000C117F"/>
    <w:rsid w:val="000C1A76"/>
    <w:rsid w:val="000C7B00"/>
    <w:rsid w:val="000D0091"/>
    <w:rsid w:val="000D2837"/>
    <w:rsid w:val="000D30B4"/>
    <w:rsid w:val="000D472F"/>
    <w:rsid w:val="000E0516"/>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2D3"/>
    <w:rsid w:val="00163004"/>
    <w:rsid w:val="00170367"/>
    <w:rsid w:val="00172C9C"/>
    <w:rsid w:val="00181D71"/>
    <w:rsid w:val="0018428A"/>
    <w:rsid w:val="00185F1D"/>
    <w:rsid w:val="00191C2E"/>
    <w:rsid w:val="00197CF5"/>
    <w:rsid w:val="001A47CB"/>
    <w:rsid w:val="001B1AE3"/>
    <w:rsid w:val="001B434D"/>
    <w:rsid w:val="001C403E"/>
    <w:rsid w:val="001C53D3"/>
    <w:rsid w:val="001C5559"/>
    <w:rsid w:val="001C5F28"/>
    <w:rsid w:val="001C651B"/>
    <w:rsid w:val="001D0CE4"/>
    <w:rsid w:val="001D1846"/>
    <w:rsid w:val="001D4082"/>
    <w:rsid w:val="001D4D29"/>
    <w:rsid w:val="001D5D33"/>
    <w:rsid w:val="001E0F56"/>
    <w:rsid w:val="001E5591"/>
    <w:rsid w:val="001E56B3"/>
    <w:rsid w:val="001E5784"/>
    <w:rsid w:val="001E71BD"/>
    <w:rsid w:val="001F34ED"/>
    <w:rsid w:val="001F4294"/>
    <w:rsid w:val="002037D9"/>
    <w:rsid w:val="002076FA"/>
    <w:rsid w:val="0021191F"/>
    <w:rsid w:val="0021633B"/>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80197"/>
    <w:rsid w:val="00281AA0"/>
    <w:rsid w:val="00290B6D"/>
    <w:rsid w:val="00291085"/>
    <w:rsid w:val="0029213E"/>
    <w:rsid w:val="00293B4D"/>
    <w:rsid w:val="00295ECB"/>
    <w:rsid w:val="00296646"/>
    <w:rsid w:val="002966FA"/>
    <w:rsid w:val="002A006A"/>
    <w:rsid w:val="002A0942"/>
    <w:rsid w:val="002A3DF2"/>
    <w:rsid w:val="002A4079"/>
    <w:rsid w:val="002A57D3"/>
    <w:rsid w:val="002A63C8"/>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8DF"/>
    <w:rsid w:val="00302095"/>
    <w:rsid w:val="00305E13"/>
    <w:rsid w:val="00310230"/>
    <w:rsid w:val="00310E95"/>
    <w:rsid w:val="003116B4"/>
    <w:rsid w:val="00311CAE"/>
    <w:rsid w:val="00316554"/>
    <w:rsid w:val="003166DB"/>
    <w:rsid w:val="00317423"/>
    <w:rsid w:val="00322F67"/>
    <w:rsid w:val="00324FB1"/>
    <w:rsid w:val="00325951"/>
    <w:rsid w:val="003306E0"/>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6F8"/>
    <w:rsid w:val="00354A2A"/>
    <w:rsid w:val="00354BD1"/>
    <w:rsid w:val="003577B9"/>
    <w:rsid w:val="0036092F"/>
    <w:rsid w:val="0036198C"/>
    <w:rsid w:val="00364578"/>
    <w:rsid w:val="00364C74"/>
    <w:rsid w:val="003717F3"/>
    <w:rsid w:val="00371A46"/>
    <w:rsid w:val="003727AA"/>
    <w:rsid w:val="00372AD7"/>
    <w:rsid w:val="00372B65"/>
    <w:rsid w:val="00377B6C"/>
    <w:rsid w:val="0038142E"/>
    <w:rsid w:val="003839FD"/>
    <w:rsid w:val="0038603B"/>
    <w:rsid w:val="003875F7"/>
    <w:rsid w:val="00390A09"/>
    <w:rsid w:val="00392F50"/>
    <w:rsid w:val="003A06B1"/>
    <w:rsid w:val="003A0927"/>
    <w:rsid w:val="003A1E07"/>
    <w:rsid w:val="003A20E2"/>
    <w:rsid w:val="003A2477"/>
    <w:rsid w:val="003A2718"/>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4C71"/>
    <w:rsid w:val="003E612B"/>
    <w:rsid w:val="003E65EC"/>
    <w:rsid w:val="003E7697"/>
    <w:rsid w:val="003F0EC8"/>
    <w:rsid w:val="003F3C37"/>
    <w:rsid w:val="003F4F8C"/>
    <w:rsid w:val="004044B7"/>
    <w:rsid w:val="004044E9"/>
    <w:rsid w:val="00405869"/>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232B"/>
    <w:rsid w:val="00475E50"/>
    <w:rsid w:val="00476248"/>
    <w:rsid w:val="004778EB"/>
    <w:rsid w:val="004803BB"/>
    <w:rsid w:val="00481764"/>
    <w:rsid w:val="0048499B"/>
    <w:rsid w:val="00490BB2"/>
    <w:rsid w:val="00490C18"/>
    <w:rsid w:val="00494B76"/>
    <w:rsid w:val="004966DC"/>
    <w:rsid w:val="00496A36"/>
    <w:rsid w:val="00497A32"/>
    <w:rsid w:val="004A092E"/>
    <w:rsid w:val="004B1C92"/>
    <w:rsid w:val="004B496B"/>
    <w:rsid w:val="004B5C4C"/>
    <w:rsid w:val="004B5EFE"/>
    <w:rsid w:val="004B7E67"/>
    <w:rsid w:val="004C0AA1"/>
    <w:rsid w:val="004C372A"/>
    <w:rsid w:val="004C4759"/>
    <w:rsid w:val="004C594B"/>
    <w:rsid w:val="004C5E01"/>
    <w:rsid w:val="004C5F8C"/>
    <w:rsid w:val="004D5603"/>
    <w:rsid w:val="004E0F1F"/>
    <w:rsid w:val="004E118D"/>
    <w:rsid w:val="004E5F27"/>
    <w:rsid w:val="004F201A"/>
    <w:rsid w:val="004F4B54"/>
    <w:rsid w:val="004F5EC6"/>
    <w:rsid w:val="004F7CF8"/>
    <w:rsid w:val="00501E37"/>
    <w:rsid w:val="0050545E"/>
    <w:rsid w:val="00507889"/>
    <w:rsid w:val="00507DA2"/>
    <w:rsid w:val="005106C2"/>
    <w:rsid w:val="00511729"/>
    <w:rsid w:val="00513ADD"/>
    <w:rsid w:val="005159F9"/>
    <w:rsid w:val="005200F5"/>
    <w:rsid w:val="00522324"/>
    <w:rsid w:val="00526131"/>
    <w:rsid w:val="00526D8D"/>
    <w:rsid w:val="00532315"/>
    <w:rsid w:val="0054129D"/>
    <w:rsid w:val="005427EA"/>
    <w:rsid w:val="0054532F"/>
    <w:rsid w:val="005501C9"/>
    <w:rsid w:val="005555C2"/>
    <w:rsid w:val="00556F66"/>
    <w:rsid w:val="0056031D"/>
    <w:rsid w:val="00560D20"/>
    <w:rsid w:val="005660B5"/>
    <w:rsid w:val="00567B1D"/>
    <w:rsid w:val="00572802"/>
    <w:rsid w:val="0057389B"/>
    <w:rsid w:val="00576097"/>
    <w:rsid w:val="0058165A"/>
    <w:rsid w:val="00583F6B"/>
    <w:rsid w:val="00584264"/>
    <w:rsid w:val="00584F4F"/>
    <w:rsid w:val="00584FA3"/>
    <w:rsid w:val="00591762"/>
    <w:rsid w:val="005934BB"/>
    <w:rsid w:val="00594932"/>
    <w:rsid w:val="005A006F"/>
    <w:rsid w:val="005A1451"/>
    <w:rsid w:val="005A280D"/>
    <w:rsid w:val="005A3CA0"/>
    <w:rsid w:val="005A4152"/>
    <w:rsid w:val="005A75B7"/>
    <w:rsid w:val="005B1253"/>
    <w:rsid w:val="005B4229"/>
    <w:rsid w:val="005B4F69"/>
    <w:rsid w:val="005B5A86"/>
    <w:rsid w:val="005B5E19"/>
    <w:rsid w:val="005B61E0"/>
    <w:rsid w:val="005B7771"/>
    <w:rsid w:val="005C6330"/>
    <w:rsid w:val="005C6A8C"/>
    <w:rsid w:val="005D6292"/>
    <w:rsid w:val="005D737B"/>
    <w:rsid w:val="005E128F"/>
    <w:rsid w:val="005E1D59"/>
    <w:rsid w:val="005E2F6D"/>
    <w:rsid w:val="005E64C5"/>
    <w:rsid w:val="005F0CA7"/>
    <w:rsid w:val="005F55C7"/>
    <w:rsid w:val="005F699B"/>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5AA4"/>
    <w:rsid w:val="006466E5"/>
    <w:rsid w:val="0065120E"/>
    <w:rsid w:val="0065197B"/>
    <w:rsid w:val="0065327F"/>
    <w:rsid w:val="006573CE"/>
    <w:rsid w:val="00660E21"/>
    <w:rsid w:val="00667C33"/>
    <w:rsid w:val="0067551C"/>
    <w:rsid w:val="00681B62"/>
    <w:rsid w:val="00682B38"/>
    <w:rsid w:val="0068586D"/>
    <w:rsid w:val="00686E41"/>
    <w:rsid w:val="006906EB"/>
    <w:rsid w:val="00692934"/>
    <w:rsid w:val="006929DF"/>
    <w:rsid w:val="00692AEF"/>
    <w:rsid w:val="0069361B"/>
    <w:rsid w:val="00694A29"/>
    <w:rsid w:val="00695DED"/>
    <w:rsid w:val="006A16CD"/>
    <w:rsid w:val="006A30A9"/>
    <w:rsid w:val="006A71EF"/>
    <w:rsid w:val="006B0CBE"/>
    <w:rsid w:val="006B1097"/>
    <w:rsid w:val="006B37D9"/>
    <w:rsid w:val="006B61E1"/>
    <w:rsid w:val="006C7C86"/>
    <w:rsid w:val="006D1C26"/>
    <w:rsid w:val="006D6B21"/>
    <w:rsid w:val="006E141E"/>
    <w:rsid w:val="006E1D8B"/>
    <w:rsid w:val="006E23D5"/>
    <w:rsid w:val="006E26F8"/>
    <w:rsid w:val="006E6D73"/>
    <w:rsid w:val="006F42F4"/>
    <w:rsid w:val="006F76F1"/>
    <w:rsid w:val="00701727"/>
    <w:rsid w:val="00701B52"/>
    <w:rsid w:val="0070220C"/>
    <w:rsid w:val="00702B85"/>
    <w:rsid w:val="0070360F"/>
    <w:rsid w:val="00706897"/>
    <w:rsid w:val="007068CC"/>
    <w:rsid w:val="00712F46"/>
    <w:rsid w:val="00714F82"/>
    <w:rsid w:val="007174B3"/>
    <w:rsid w:val="007213D0"/>
    <w:rsid w:val="0072741F"/>
    <w:rsid w:val="00727D93"/>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5879"/>
    <w:rsid w:val="007C68D3"/>
    <w:rsid w:val="007D020C"/>
    <w:rsid w:val="007D3740"/>
    <w:rsid w:val="007D4FCF"/>
    <w:rsid w:val="007D5ABB"/>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2A2D"/>
    <w:rsid w:val="00833404"/>
    <w:rsid w:val="00837CB6"/>
    <w:rsid w:val="00840ED4"/>
    <w:rsid w:val="00841802"/>
    <w:rsid w:val="008418A3"/>
    <w:rsid w:val="0084218C"/>
    <w:rsid w:val="00842C48"/>
    <w:rsid w:val="00846648"/>
    <w:rsid w:val="00851896"/>
    <w:rsid w:val="00853255"/>
    <w:rsid w:val="0085541A"/>
    <w:rsid w:val="0086110A"/>
    <w:rsid w:val="008612D6"/>
    <w:rsid w:val="008651D1"/>
    <w:rsid w:val="00872C46"/>
    <w:rsid w:val="00875A82"/>
    <w:rsid w:val="00884707"/>
    <w:rsid w:val="008879C4"/>
    <w:rsid w:val="00890BCF"/>
    <w:rsid w:val="00891BD3"/>
    <w:rsid w:val="008944CD"/>
    <w:rsid w:val="00895B9F"/>
    <w:rsid w:val="008A1E29"/>
    <w:rsid w:val="008A1E6D"/>
    <w:rsid w:val="008A23C6"/>
    <w:rsid w:val="008A5EAE"/>
    <w:rsid w:val="008A687C"/>
    <w:rsid w:val="008A6D05"/>
    <w:rsid w:val="008B2068"/>
    <w:rsid w:val="008B70A2"/>
    <w:rsid w:val="008C2911"/>
    <w:rsid w:val="008C2D6C"/>
    <w:rsid w:val="008C3580"/>
    <w:rsid w:val="008C5630"/>
    <w:rsid w:val="008C7FB8"/>
    <w:rsid w:val="008D30CD"/>
    <w:rsid w:val="008D3F07"/>
    <w:rsid w:val="008D5F6B"/>
    <w:rsid w:val="008D7CDD"/>
    <w:rsid w:val="008E3B41"/>
    <w:rsid w:val="008F0DAC"/>
    <w:rsid w:val="008F7EB9"/>
    <w:rsid w:val="0090767E"/>
    <w:rsid w:val="00907BC3"/>
    <w:rsid w:val="0091495A"/>
    <w:rsid w:val="00914C01"/>
    <w:rsid w:val="009153DB"/>
    <w:rsid w:val="00917918"/>
    <w:rsid w:val="0092266A"/>
    <w:rsid w:val="00923D30"/>
    <w:rsid w:val="0092750A"/>
    <w:rsid w:val="00932903"/>
    <w:rsid w:val="0093526E"/>
    <w:rsid w:val="00936208"/>
    <w:rsid w:val="00937D4C"/>
    <w:rsid w:val="00942722"/>
    <w:rsid w:val="00944CD8"/>
    <w:rsid w:val="00945147"/>
    <w:rsid w:val="009451BC"/>
    <w:rsid w:val="009465EC"/>
    <w:rsid w:val="00947620"/>
    <w:rsid w:val="00947BA9"/>
    <w:rsid w:val="00950960"/>
    <w:rsid w:val="009510EF"/>
    <w:rsid w:val="00955146"/>
    <w:rsid w:val="00956671"/>
    <w:rsid w:val="0096124D"/>
    <w:rsid w:val="00962C3D"/>
    <w:rsid w:val="00963D45"/>
    <w:rsid w:val="00966D07"/>
    <w:rsid w:val="00970F2A"/>
    <w:rsid w:val="00971E42"/>
    <w:rsid w:val="00972A32"/>
    <w:rsid w:val="00974D59"/>
    <w:rsid w:val="00977B12"/>
    <w:rsid w:val="00977BA5"/>
    <w:rsid w:val="00977BC9"/>
    <w:rsid w:val="00982B92"/>
    <w:rsid w:val="00984BD9"/>
    <w:rsid w:val="00990DAF"/>
    <w:rsid w:val="00991CFF"/>
    <w:rsid w:val="00992B29"/>
    <w:rsid w:val="00992CD8"/>
    <w:rsid w:val="009959F2"/>
    <w:rsid w:val="0099749E"/>
    <w:rsid w:val="00997AC3"/>
    <w:rsid w:val="009A2E36"/>
    <w:rsid w:val="009A5275"/>
    <w:rsid w:val="009B0DD6"/>
    <w:rsid w:val="009B110E"/>
    <w:rsid w:val="009B22E6"/>
    <w:rsid w:val="009B248F"/>
    <w:rsid w:val="009B4DFE"/>
    <w:rsid w:val="009B72F3"/>
    <w:rsid w:val="009C049E"/>
    <w:rsid w:val="009C19B6"/>
    <w:rsid w:val="009C2A26"/>
    <w:rsid w:val="009C3D1C"/>
    <w:rsid w:val="009D2AF7"/>
    <w:rsid w:val="009D35D0"/>
    <w:rsid w:val="009E0A17"/>
    <w:rsid w:val="009E2D48"/>
    <w:rsid w:val="009E49E6"/>
    <w:rsid w:val="009E566C"/>
    <w:rsid w:val="009E62BA"/>
    <w:rsid w:val="00A0180E"/>
    <w:rsid w:val="00A03882"/>
    <w:rsid w:val="00A0666F"/>
    <w:rsid w:val="00A06B1D"/>
    <w:rsid w:val="00A1460F"/>
    <w:rsid w:val="00A159D4"/>
    <w:rsid w:val="00A169FE"/>
    <w:rsid w:val="00A2077D"/>
    <w:rsid w:val="00A22432"/>
    <w:rsid w:val="00A26DAC"/>
    <w:rsid w:val="00A35C99"/>
    <w:rsid w:val="00A40FB0"/>
    <w:rsid w:val="00A42949"/>
    <w:rsid w:val="00A43C45"/>
    <w:rsid w:val="00A449B8"/>
    <w:rsid w:val="00A4513B"/>
    <w:rsid w:val="00A45255"/>
    <w:rsid w:val="00A5066E"/>
    <w:rsid w:val="00A50AB3"/>
    <w:rsid w:val="00A52FED"/>
    <w:rsid w:val="00A531FE"/>
    <w:rsid w:val="00A54C34"/>
    <w:rsid w:val="00A55138"/>
    <w:rsid w:val="00A553FE"/>
    <w:rsid w:val="00A6393A"/>
    <w:rsid w:val="00A64FB8"/>
    <w:rsid w:val="00A65E3C"/>
    <w:rsid w:val="00A66252"/>
    <w:rsid w:val="00A73E32"/>
    <w:rsid w:val="00A749A4"/>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6BDA"/>
    <w:rsid w:val="00AF1055"/>
    <w:rsid w:val="00AF2BE8"/>
    <w:rsid w:val="00AF4071"/>
    <w:rsid w:val="00AF4CD5"/>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5116"/>
    <w:rsid w:val="00B977C5"/>
    <w:rsid w:val="00BA047C"/>
    <w:rsid w:val="00BA326C"/>
    <w:rsid w:val="00BA6BBE"/>
    <w:rsid w:val="00BB03F9"/>
    <w:rsid w:val="00BB2E97"/>
    <w:rsid w:val="00BB5475"/>
    <w:rsid w:val="00BB5BC7"/>
    <w:rsid w:val="00BC0EFB"/>
    <w:rsid w:val="00BC26AC"/>
    <w:rsid w:val="00BC6FF6"/>
    <w:rsid w:val="00BC7C0F"/>
    <w:rsid w:val="00BD03D1"/>
    <w:rsid w:val="00BD0659"/>
    <w:rsid w:val="00BD4F3C"/>
    <w:rsid w:val="00BE0256"/>
    <w:rsid w:val="00BE340A"/>
    <w:rsid w:val="00BE5BA9"/>
    <w:rsid w:val="00BF53D7"/>
    <w:rsid w:val="00BF7EAD"/>
    <w:rsid w:val="00C022E0"/>
    <w:rsid w:val="00C037D7"/>
    <w:rsid w:val="00C0727F"/>
    <w:rsid w:val="00C11438"/>
    <w:rsid w:val="00C11F8D"/>
    <w:rsid w:val="00C167F5"/>
    <w:rsid w:val="00C16B05"/>
    <w:rsid w:val="00C17B16"/>
    <w:rsid w:val="00C311FF"/>
    <w:rsid w:val="00C32522"/>
    <w:rsid w:val="00C32663"/>
    <w:rsid w:val="00C345E3"/>
    <w:rsid w:val="00C422B3"/>
    <w:rsid w:val="00C44533"/>
    <w:rsid w:val="00C46210"/>
    <w:rsid w:val="00C51A14"/>
    <w:rsid w:val="00C53234"/>
    <w:rsid w:val="00C551E1"/>
    <w:rsid w:val="00C5543F"/>
    <w:rsid w:val="00C56DE6"/>
    <w:rsid w:val="00C6116C"/>
    <w:rsid w:val="00C66179"/>
    <w:rsid w:val="00C6738A"/>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55D3"/>
    <w:rsid w:val="00CB6CF0"/>
    <w:rsid w:val="00CB6EA6"/>
    <w:rsid w:val="00CC0598"/>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42CF"/>
    <w:rsid w:val="00D3701C"/>
    <w:rsid w:val="00D457A9"/>
    <w:rsid w:val="00D46EAE"/>
    <w:rsid w:val="00D54B71"/>
    <w:rsid w:val="00D55BF8"/>
    <w:rsid w:val="00D7050F"/>
    <w:rsid w:val="00D7261C"/>
    <w:rsid w:val="00D731CF"/>
    <w:rsid w:val="00D73883"/>
    <w:rsid w:val="00D76C52"/>
    <w:rsid w:val="00D822B2"/>
    <w:rsid w:val="00D91CB2"/>
    <w:rsid w:val="00D94AE8"/>
    <w:rsid w:val="00DA0900"/>
    <w:rsid w:val="00DA4419"/>
    <w:rsid w:val="00DA738B"/>
    <w:rsid w:val="00DB545D"/>
    <w:rsid w:val="00DC1516"/>
    <w:rsid w:val="00DC3B2E"/>
    <w:rsid w:val="00DC3EB1"/>
    <w:rsid w:val="00DC4FCF"/>
    <w:rsid w:val="00DD64E9"/>
    <w:rsid w:val="00DD6965"/>
    <w:rsid w:val="00DD6C03"/>
    <w:rsid w:val="00DD6DD3"/>
    <w:rsid w:val="00DD7595"/>
    <w:rsid w:val="00DD7DC5"/>
    <w:rsid w:val="00DE3D5A"/>
    <w:rsid w:val="00DE62C3"/>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526C7"/>
    <w:rsid w:val="00E60431"/>
    <w:rsid w:val="00E63DDD"/>
    <w:rsid w:val="00E646AC"/>
    <w:rsid w:val="00E72953"/>
    <w:rsid w:val="00E757EC"/>
    <w:rsid w:val="00E75CD0"/>
    <w:rsid w:val="00E76A6F"/>
    <w:rsid w:val="00E77D98"/>
    <w:rsid w:val="00E77DB9"/>
    <w:rsid w:val="00E8166E"/>
    <w:rsid w:val="00E82EB4"/>
    <w:rsid w:val="00E84939"/>
    <w:rsid w:val="00E855BE"/>
    <w:rsid w:val="00E91579"/>
    <w:rsid w:val="00E91A8D"/>
    <w:rsid w:val="00E938E2"/>
    <w:rsid w:val="00E94627"/>
    <w:rsid w:val="00E94FB0"/>
    <w:rsid w:val="00E95299"/>
    <w:rsid w:val="00E95A5A"/>
    <w:rsid w:val="00E97429"/>
    <w:rsid w:val="00E974BC"/>
    <w:rsid w:val="00EA08FC"/>
    <w:rsid w:val="00EA11B0"/>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7F59"/>
    <w:rsid w:val="00EE5133"/>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273C"/>
    <w:rsid w:val="00F32996"/>
    <w:rsid w:val="00F356E8"/>
    <w:rsid w:val="00F36052"/>
    <w:rsid w:val="00F40C1B"/>
    <w:rsid w:val="00F440C4"/>
    <w:rsid w:val="00F45826"/>
    <w:rsid w:val="00F52D93"/>
    <w:rsid w:val="00F56FAC"/>
    <w:rsid w:val="00F570A5"/>
    <w:rsid w:val="00F57E3F"/>
    <w:rsid w:val="00F57F86"/>
    <w:rsid w:val="00F61758"/>
    <w:rsid w:val="00F66683"/>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616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8B2F-1A10-49C9-B47F-FD5CBA53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8762</Characters>
  <Application>Microsoft Office Word</Application>
  <DocSecurity>2</DocSecurity>
  <Lines>73</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10173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2019-10-15T06:03:00Z</dcterms:created>
  <dcterms:modified xsi:type="dcterms:W3CDTF">2019-10-24T08:13:00Z</dcterms:modified>
</cp:coreProperties>
</file>