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1B" w:rsidRPr="001B5DC2" w:rsidRDefault="006C7C86" w:rsidP="00302095">
      <w:pPr>
        <w:tabs>
          <w:tab w:val="left" w:pos="9072"/>
        </w:tabs>
        <w:spacing w:line="300" w:lineRule="exact"/>
        <w:ind w:right="283"/>
        <w:jc w:val="both"/>
        <w:rPr>
          <w:rFonts w:ascii="CorpoS" w:hAnsi="CorpoS"/>
          <w:b/>
          <w:sz w:val="22"/>
          <w:szCs w:val="22"/>
          <w:lang w:val="de-DE"/>
        </w:rPr>
      </w:pPr>
      <w:r w:rsidRPr="001B5DC2">
        <w:rPr>
          <w:rFonts w:ascii="CorpoS" w:hAnsi="CorpoS"/>
          <w:b/>
          <w:sz w:val="22"/>
          <w:szCs w:val="22"/>
          <w:lang w:val="de-DE"/>
        </w:rPr>
        <w:t xml:space="preserve">MTU Aero Engines </w:t>
      </w:r>
      <w:r w:rsidR="00E526C7" w:rsidRPr="001B5DC2">
        <w:rPr>
          <w:rFonts w:ascii="CorpoS" w:hAnsi="CorpoS"/>
          <w:b/>
          <w:sz w:val="22"/>
          <w:szCs w:val="22"/>
          <w:lang w:val="de-DE"/>
        </w:rPr>
        <w:t xml:space="preserve">AG </w:t>
      </w:r>
      <w:r w:rsidR="001B5DC2" w:rsidRPr="001B5DC2">
        <w:rPr>
          <w:rFonts w:ascii="CorpoS" w:hAnsi="CorpoS"/>
          <w:b/>
          <w:sz w:val="22"/>
          <w:szCs w:val="22"/>
          <w:lang w:val="de-DE"/>
        </w:rPr>
        <w:t xml:space="preserve">präzisiert nach stabilen </w:t>
      </w:r>
      <w:r w:rsidR="005C4EC9" w:rsidRPr="001B5DC2">
        <w:rPr>
          <w:rFonts w:ascii="CorpoS" w:hAnsi="CorpoS"/>
          <w:b/>
          <w:sz w:val="22"/>
          <w:szCs w:val="22"/>
          <w:lang w:val="de-DE"/>
        </w:rPr>
        <w:t xml:space="preserve">Neun-Monats-Zahlen </w:t>
      </w:r>
      <w:r w:rsidR="001B5DC2" w:rsidRPr="001B5DC2">
        <w:rPr>
          <w:rFonts w:ascii="CorpoS" w:hAnsi="CorpoS"/>
          <w:b/>
          <w:sz w:val="22"/>
          <w:szCs w:val="22"/>
          <w:lang w:val="de-DE"/>
        </w:rPr>
        <w:t>die</w:t>
      </w:r>
      <w:r w:rsidR="005C4EC9" w:rsidRPr="001B5DC2">
        <w:rPr>
          <w:rFonts w:ascii="CorpoS" w:hAnsi="CorpoS"/>
          <w:b/>
          <w:sz w:val="22"/>
          <w:szCs w:val="22"/>
          <w:lang w:val="de-DE"/>
        </w:rPr>
        <w:t xml:space="preserve"> Prognose</w:t>
      </w:r>
    </w:p>
    <w:p w:rsidR="00526131" w:rsidRPr="00472A29" w:rsidRDefault="00976657" w:rsidP="00027B52">
      <w:pPr>
        <w:numPr>
          <w:ilvl w:val="0"/>
          <w:numId w:val="12"/>
        </w:numPr>
        <w:tabs>
          <w:tab w:val="left" w:pos="9072"/>
        </w:tabs>
        <w:spacing w:line="300" w:lineRule="exact"/>
        <w:ind w:right="283"/>
        <w:jc w:val="both"/>
        <w:rPr>
          <w:rFonts w:ascii="CorpoS" w:hAnsi="CorpoS"/>
          <w:b/>
          <w:sz w:val="22"/>
          <w:szCs w:val="22"/>
          <w:lang w:val="de-DE"/>
        </w:rPr>
      </w:pPr>
      <w:r w:rsidRPr="00472A29">
        <w:rPr>
          <w:rFonts w:ascii="CorpoS" w:hAnsi="CorpoS"/>
          <w:b/>
          <w:sz w:val="22"/>
          <w:szCs w:val="22"/>
          <w:lang w:val="de-DE"/>
        </w:rPr>
        <w:t>Umsatz 202</w:t>
      </w:r>
      <w:r w:rsidR="00FF7184">
        <w:rPr>
          <w:rFonts w:ascii="CorpoS" w:hAnsi="CorpoS"/>
          <w:b/>
          <w:sz w:val="22"/>
          <w:szCs w:val="22"/>
          <w:lang w:val="de-DE"/>
        </w:rPr>
        <w:t>1</w:t>
      </w:r>
      <w:r w:rsidRPr="00472A29">
        <w:rPr>
          <w:rFonts w:ascii="CorpoS" w:hAnsi="CorpoS"/>
          <w:b/>
          <w:sz w:val="22"/>
          <w:szCs w:val="22"/>
          <w:lang w:val="de-DE"/>
        </w:rPr>
        <w:t xml:space="preserve"> soll 4</w:t>
      </w:r>
      <w:r w:rsidR="00472A29" w:rsidRPr="00472A29">
        <w:rPr>
          <w:rFonts w:ascii="CorpoS" w:hAnsi="CorpoS"/>
          <w:b/>
          <w:sz w:val="22"/>
          <w:szCs w:val="22"/>
          <w:lang w:val="de-DE"/>
        </w:rPr>
        <w:t>,3</w:t>
      </w:r>
      <w:r w:rsidRPr="00472A29">
        <w:rPr>
          <w:rFonts w:ascii="CorpoS" w:hAnsi="CorpoS"/>
          <w:b/>
          <w:sz w:val="22"/>
          <w:szCs w:val="22"/>
          <w:lang w:val="de-DE"/>
        </w:rPr>
        <w:t xml:space="preserve"> bis 4,</w:t>
      </w:r>
      <w:r w:rsidR="00472A29" w:rsidRPr="00472A29">
        <w:rPr>
          <w:rFonts w:ascii="CorpoS" w:hAnsi="CorpoS"/>
          <w:b/>
          <w:sz w:val="22"/>
          <w:szCs w:val="22"/>
          <w:lang w:val="de-DE"/>
        </w:rPr>
        <w:t>4</w:t>
      </w:r>
      <w:r w:rsidRPr="00472A29">
        <w:rPr>
          <w:rFonts w:ascii="CorpoS" w:hAnsi="CorpoS"/>
          <w:b/>
          <w:sz w:val="22"/>
          <w:szCs w:val="22"/>
          <w:lang w:val="de-DE"/>
        </w:rPr>
        <w:t xml:space="preserve"> Mrd. € erreichen</w:t>
      </w:r>
    </w:p>
    <w:p w:rsidR="00976657" w:rsidRPr="00472A29" w:rsidRDefault="00976657" w:rsidP="00027B52">
      <w:pPr>
        <w:numPr>
          <w:ilvl w:val="0"/>
          <w:numId w:val="12"/>
        </w:numPr>
        <w:tabs>
          <w:tab w:val="left" w:pos="9072"/>
        </w:tabs>
        <w:spacing w:line="300" w:lineRule="exact"/>
        <w:ind w:right="283"/>
        <w:jc w:val="both"/>
        <w:rPr>
          <w:rFonts w:ascii="CorpoS" w:hAnsi="CorpoS"/>
          <w:b/>
          <w:sz w:val="22"/>
          <w:szCs w:val="22"/>
          <w:lang w:val="de-DE"/>
        </w:rPr>
      </w:pPr>
      <w:r w:rsidRPr="00472A29">
        <w:rPr>
          <w:rFonts w:ascii="CorpoS" w:hAnsi="CorpoS"/>
          <w:b/>
          <w:sz w:val="22"/>
          <w:szCs w:val="22"/>
          <w:lang w:val="de-DE"/>
        </w:rPr>
        <w:t xml:space="preserve">Bereinigte EBIT-Marge wird bei </w:t>
      </w:r>
      <w:r w:rsidR="00FF7184">
        <w:rPr>
          <w:rFonts w:ascii="CorpoS" w:hAnsi="CorpoS"/>
          <w:b/>
          <w:sz w:val="22"/>
          <w:szCs w:val="22"/>
          <w:lang w:val="de-DE"/>
        </w:rPr>
        <w:t>rund</w:t>
      </w:r>
      <w:r w:rsidRPr="00472A29">
        <w:rPr>
          <w:rFonts w:ascii="CorpoS" w:hAnsi="CorpoS"/>
          <w:b/>
          <w:sz w:val="22"/>
          <w:szCs w:val="22"/>
          <w:lang w:val="de-DE"/>
        </w:rPr>
        <w:t xml:space="preserve"> 10</w:t>
      </w:r>
      <w:r w:rsidR="00472A29" w:rsidRPr="00472A29">
        <w:rPr>
          <w:rFonts w:ascii="CorpoS" w:hAnsi="CorpoS"/>
          <w:b/>
          <w:sz w:val="22"/>
          <w:szCs w:val="22"/>
          <w:lang w:val="de-DE"/>
        </w:rPr>
        <w:t>,5</w:t>
      </w:r>
      <w:r w:rsidRPr="00472A29">
        <w:rPr>
          <w:rFonts w:ascii="CorpoS" w:hAnsi="CorpoS"/>
          <w:b/>
          <w:sz w:val="22"/>
          <w:szCs w:val="22"/>
          <w:lang w:val="de-DE"/>
        </w:rPr>
        <w:t xml:space="preserve"> % erwartet</w:t>
      </w:r>
    </w:p>
    <w:p w:rsidR="00472A29" w:rsidRPr="00472A29" w:rsidRDefault="00472A29" w:rsidP="00472A29">
      <w:pPr>
        <w:numPr>
          <w:ilvl w:val="0"/>
          <w:numId w:val="12"/>
        </w:numPr>
        <w:tabs>
          <w:tab w:val="left" w:pos="9072"/>
        </w:tabs>
        <w:spacing w:line="300" w:lineRule="exact"/>
        <w:ind w:right="141"/>
        <w:jc w:val="both"/>
        <w:rPr>
          <w:rFonts w:ascii="CorpoS" w:hAnsi="CorpoS"/>
          <w:b/>
          <w:sz w:val="22"/>
          <w:szCs w:val="22"/>
          <w:lang w:val="de-DE"/>
        </w:rPr>
      </w:pPr>
      <w:r w:rsidRPr="00472A29">
        <w:rPr>
          <w:rFonts w:ascii="CorpoS" w:hAnsi="CorpoS"/>
          <w:b/>
          <w:sz w:val="22"/>
          <w:szCs w:val="22"/>
          <w:lang w:val="de-DE"/>
        </w:rPr>
        <w:t>CCR dürfte im hohen zweistelligen Prozentbereich liegen</w:t>
      </w:r>
    </w:p>
    <w:p w:rsidR="00C51A14" w:rsidRPr="00472A29" w:rsidRDefault="00C51A14" w:rsidP="00C51A14">
      <w:pPr>
        <w:tabs>
          <w:tab w:val="left" w:pos="9072"/>
        </w:tabs>
        <w:spacing w:line="300" w:lineRule="exact"/>
        <w:ind w:right="283"/>
        <w:jc w:val="both"/>
        <w:rPr>
          <w:rFonts w:ascii="CorpoS" w:hAnsi="CorpoS"/>
          <w:b/>
          <w:sz w:val="22"/>
          <w:szCs w:val="22"/>
          <w:lang w:val="de-DE"/>
        </w:rPr>
      </w:pPr>
    </w:p>
    <w:p w:rsidR="00C51A14" w:rsidRPr="00696E88" w:rsidRDefault="00C51A14" w:rsidP="00C51A14">
      <w:pPr>
        <w:tabs>
          <w:tab w:val="left" w:pos="7655"/>
          <w:tab w:val="left" w:pos="9072"/>
        </w:tabs>
        <w:spacing w:line="300" w:lineRule="exact"/>
        <w:ind w:right="283"/>
        <w:jc w:val="both"/>
        <w:rPr>
          <w:rFonts w:ascii="CorpoS" w:hAnsi="CorpoS"/>
          <w:sz w:val="22"/>
          <w:szCs w:val="22"/>
          <w:lang w:val="de-DE"/>
        </w:rPr>
      </w:pPr>
      <w:r w:rsidRPr="0030178E">
        <w:rPr>
          <w:rFonts w:ascii="CorpoS" w:hAnsi="CorpoS"/>
          <w:sz w:val="22"/>
          <w:szCs w:val="22"/>
          <w:lang w:val="de-DE"/>
        </w:rPr>
        <w:t xml:space="preserve">München, </w:t>
      </w:r>
      <w:r w:rsidR="00711D21" w:rsidRPr="0030178E">
        <w:rPr>
          <w:rFonts w:ascii="CorpoS" w:hAnsi="CorpoS"/>
          <w:sz w:val="22"/>
          <w:szCs w:val="22"/>
          <w:lang w:val="de-DE"/>
        </w:rPr>
        <w:t>29</w:t>
      </w:r>
      <w:r w:rsidRPr="0030178E">
        <w:rPr>
          <w:rFonts w:ascii="CorpoS" w:hAnsi="CorpoS"/>
          <w:sz w:val="22"/>
          <w:szCs w:val="22"/>
          <w:lang w:val="de-DE"/>
        </w:rPr>
        <w:t xml:space="preserve">. </w:t>
      </w:r>
      <w:r w:rsidR="002C2460" w:rsidRPr="0030178E">
        <w:rPr>
          <w:rFonts w:ascii="CorpoS" w:hAnsi="CorpoS"/>
          <w:sz w:val="22"/>
          <w:szCs w:val="22"/>
          <w:lang w:val="de-DE"/>
        </w:rPr>
        <w:t>Oktober</w:t>
      </w:r>
      <w:r w:rsidRPr="0030178E">
        <w:rPr>
          <w:rFonts w:ascii="CorpoS" w:hAnsi="CorpoS"/>
          <w:sz w:val="22"/>
          <w:szCs w:val="22"/>
          <w:lang w:val="de-DE"/>
        </w:rPr>
        <w:t xml:space="preserve"> 20</w:t>
      </w:r>
      <w:r w:rsidR="00711D21" w:rsidRPr="0030178E">
        <w:rPr>
          <w:rFonts w:ascii="CorpoS" w:hAnsi="CorpoS"/>
          <w:sz w:val="22"/>
          <w:szCs w:val="22"/>
          <w:lang w:val="de-DE"/>
        </w:rPr>
        <w:t>2</w:t>
      </w:r>
      <w:r w:rsidR="0030178E" w:rsidRPr="0030178E">
        <w:rPr>
          <w:rFonts w:ascii="CorpoS" w:hAnsi="CorpoS"/>
          <w:sz w:val="22"/>
          <w:szCs w:val="22"/>
          <w:lang w:val="de-DE"/>
        </w:rPr>
        <w:t>1</w:t>
      </w:r>
      <w:r w:rsidRPr="0030178E">
        <w:rPr>
          <w:rFonts w:ascii="CorpoS" w:hAnsi="CorpoS"/>
          <w:sz w:val="22"/>
          <w:szCs w:val="22"/>
          <w:lang w:val="de-DE"/>
        </w:rPr>
        <w:t xml:space="preserve"> </w:t>
      </w:r>
      <w:r w:rsidRPr="00696E88">
        <w:rPr>
          <w:rFonts w:ascii="CorpoS" w:hAnsi="CorpoS"/>
          <w:sz w:val="22"/>
          <w:szCs w:val="22"/>
          <w:lang w:val="de-DE"/>
        </w:rPr>
        <w:t xml:space="preserve">– Die MTU Aero Engines AG hat </w:t>
      </w:r>
      <w:r w:rsidR="0065120E" w:rsidRPr="00696E88">
        <w:rPr>
          <w:rFonts w:ascii="CorpoS" w:hAnsi="CorpoS"/>
          <w:sz w:val="22"/>
          <w:szCs w:val="22"/>
          <w:lang w:val="de-DE"/>
        </w:rPr>
        <w:t>in den erste</w:t>
      </w:r>
      <w:r w:rsidR="009153DB" w:rsidRPr="00696E88">
        <w:rPr>
          <w:rFonts w:ascii="CorpoS" w:hAnsi="CorpoS"/>
          <w:sz w:val="22"/>
          <w:szCs w:val="22"/>
          <w:lang w:val="de-DE"/>
        </w:rPr>
        <w:t>n</w:t>
      </w:r>
      <w:r w:rsidR="0065120E" w:rsidRPr="00696E88">
        <w:rPr>
          <w:rFonts w:ascii="CorpoS" w:hAnsi="CorpoS"/>
          <w:sz w:val="22"/>
          <w:szCs w:val="22"/>
          <w:lang w:val="de-DE"/>
        </w:rPr>
        <w:t xml:space="preserve"> neun Monaten 20</w:t>
      </w:r>
      <w:r w:rsidR="00C33551" w:rsidRPr="00696E88">
        <w:rPr>
          <w:rFonts w:ascii="CorpoS" w:hAnsi="CorpoS"/>
          <w:sz w:val="22"/>
          <w:szCs w:val="22"/>
          <w:lang w:val="de-DE"/>
        </w:rPr>
        <w:t>2</w:t>
      </w:r>
      <w:r w:rsidR="00574B13" w:rsidRPr="00696E88">
        <w:rPr>
          <w:rFonts w:ascii="CorpoS" w:hAnsi="CorpoS"/>
          <w:sz w:val="22"/>
          <w:szCs w:val="22"/>
          <w:lang w:val="de-DE"/>
        </w:rPr>
        <w:t>1 stabile Umsatz- und Ergebniswerte erzielt: Der Umsatz lag bei 3.008 Mio. € nach 2.957</w:t>
      </w:r>
      <w:r w:rsidR="00C33551" w:rsidRPr="00696E88">
        <w:rPr>
          <w:rFonts w:ascii="CorpoS" w:hAnsi="CorpoS"/>
          <w:sz w:val="22"/>
          <w:szCs w:val="22"/>
          <w:lang w:val="de-DE"/>
        </w:rPr>
        <w:t xml:space="preserve"> Mio. €</w:t>
      </w:r>
      <w:r w:rsidR="00574B13" w:rsidRPr="00696E88">
        <w:rPr>
          <w:rFonts w:ascii="CorpoS" w:hAnsi="CorpoS"/>
          <w:sz w:val="22"/>
          <w:szCs w:val="22"/>
          <w:lang w:val="de-DE"/>
        </w:rPr>
        <w:t xml:space="preserve"> in den ersten neun Monaten 2020</w:t>
      </w:r>
      <w:r w:rsidR="00FD13FE" w:rsidRPr="00696E88">
        <w:rPr>
          <w:rFonts w:ascii="CorpoS" w:hAnsi="CorpoS"/>
          <w:sz w:val="22"/>
          <w:szCs w:val="22"/>
          <w:lang w:val="de-DE"/>
        </w:rPr>
        <w:t xml:space="preserve">. </w:t>
      </w:r>
      <w:r w:rsidR="0065120E" w:rsidRPr="00696E88">
        <w:rPr>
          <w:rFonts w:ascii="CorpoS" w:hAnsi="CorpoS"/>
          <w:sz w:val="22"/>
          <w:szCs w:val="22"/>
          <w:lang w:val="de-DE"/>
        </w:rPr>
        <w:t xml:space="preserve">Das </w:t>
      </w:r>
      <w:r w:rsidRPr="00696E88">
        <w:rPr>
          <w:rFonts w:ascii="CorpoS" w:hAnsi="CorpoS"/>
          <w:sz w:val="22"/>
          <w:szCs w:val="22"/>
          <w:lang w:val="de-DE"/>
        </w:rPr>
        <w:t>operative Ergebnis</w:t>
      </w:r>
      <w:r w:rsidRPr="00696E88">
        <w:rPr>
          <w:rStyle w:val="Funotenzeichen"/>
          <w:rFonts w:ascii="CorpoS" w:hAnsi="CorpoS"/>
          <w:b/>
          <w:sz w:val="22"/>
          <w:szCs w:val="22"/>
          <w:lang w:val="de-DE"/>
        </w:rPr>
        <w:footnoteReference w:id="1"/>
      </w:r>
      <w:r w:rsidR="0076577A" w:rsidRPr="00696E88">
        <w:rPr>
          <w:rFonts w:ascii="CorpoS" w:hAnsi="CorpoS"/>
          <w:sz w:val="22"/>
          <w:szCs w:val="22"/>
          <w:lang w:val="de-DE"/>
        </w:rPr>
        <w:t xml:space="preserve"> </w:t>
      </w:r>
      <w:r w:rsidR="00574B13" w:rsidRPr="00696E88">
        <w:rPr>
          <w:rFonts w:ascii="CorpoS" w:hAnsi="CorpoS"/>
          <w:sz w:val="22"/>
          <w:szCs w:val="22"/>
          <w:lang w:val="de-DE"/>
        </w:rPr>
        <w:t xml:space="preserve">erreichte 307 Mio. €; im Vergleichszeitraum waren es 311 Mio. €. Die Ergebnismarge lag bei 10,2 % </w:t>
      </w:r>
      <w:r w:rsidR="00C33551" w:rsidRPr="00696E88">
        <w:rPr>
          <w:rFonts w:ascii="CorpoS" w:hAnsi="CorpoS"/>
          <w:sz w:val="22"/>
          <w:szCs w:val="22"/>
          <w:lang w:val="de-DE"/>
        </w:rPr>
        <w:t>(1-9/20</w:t>
      </w:r>
      <w:r w:rsidR="00574B13" w:rsidRPr="00696E88">
        <w:rPr>
          <w:rFonts w:ascii="CorpoS" w:hAnsi="CorpoS"/>
          <w:sz w:val="22"/>
          <w:szCs w:val="22"/>
          <w:lang w:val="de-DE"/>
        </w:rPr>
        <w:t>20</w:t>
      </w:r>
      <w:r w:rsidR="00C33551" w:rsidRPr="00696E88">
        <w:rPr>
          <w:rFonts w:ascii="CorpoS" w:hAnsi="CorpoS"/>
          <w:sz w:val="22"/>
          <w:szCs w:val="22"/>
          <w:lang w:val="de-DE"/>
        </w:rPr>
        <w:t xml:space="preserve">: </w:t>
      </w:r>
      <w:r w:rsidR="004C5F8C" w:rsidRPr="00696E88">
        <w:rPr>
          <w:rFonts w:ascii="CorpoS" w:hAnsi="CorpoS"/>
          <w:sz w:val="22"/>
          <w:szCs w:val="22"/>
          <w:lang w:val="de-DE"/>
        </w:rPr>
        <w:t>1</w:t>
      </w:r>
      <w:r w:rsidR="00574B13" w:rsidRPr="00696E88">
        <w:rPr>
          <w:rFonts w:ascii="CorpoS" w:hAnsi="CorpoS"/>
          <w:sz w:val="22"/>
          <w:szCs w:val="22"/>
          <w:lang w:val="de-DE"/>
        </w:rPr>
        <w:t>0,5</w:t>
      </w:r>
      <w:r w:rsidR="004C5F8C" w:rsidRPr="00696E88">
        <w:rPr>
          <w:rFonts w:ascii="CorpoS" w:hAnsi="CorpoS"/>
          <w:sz w:val="22"/>
          <w:szCs w:val="22"/>
          <w:lang w:val="de-DE"/>
        </w:rPr>
        <w:t xml:space="preserve"> %</w:t>
      </w:r>
      <w:r w:rsidR="00C33551" w:rsidRPr="00696E88">
        <w:rPr>
          <w:rFonts w:ascii="CorpoS" w:hAnsi="CorpoS"/>
          <w:sz w:val="22"/>
          <w:szCs w:val="22"/>
          <w:lang w:val="de-DE"/>
        </w:rPr>
        <w:t xml:space="preserve">). </w:t>
      </w:r>
      <w:r w:rsidR="000B624E" w:rsidRPr="00696E88">
        <w:rPr>
          <w:rFonts w:ascii="CorpoS" w:hAnsi="CorpoS"/>
          <w:sz w:val="22"/>
          <w:szCs w:val="22"/>
          <w:lang w:val="de-DE"/>
        </w:rPr>
        <w:t xml:space="preserve">Mit 220 Mio. € war der </w:t>
      </w:r>
      <w:r w:rsidRPr="00696E88">
        <w:rPr>
          <w:rFonts w:ascii="CorpoS" w:hAnsi="CorpoS"/>
          <w:sz w:val="22"/>
          <w:szCs w:val="22"/>
          <w:lang w:val="de-DE"/>
        </w:rPr>
        <w:t>Gewinn nach Steuern</w:t>
      </w:r>
      <w:r w:rsidRPr="00696E88">
        <w:rPr>
          <w:rStyle w:val="Funotenzeichen"/>
          <w:rFonts w:ascii="CorpoS" w:hAnsi="CorpoS"/>
          <w:b/>
          <w:sz w:val="22"/>
          <w:szCs w:val="22"/>
          <w:lang w:val="de-DE"/>
        </w:rPr>
        <w:footnoteReference w:id="2"/>
      </w:r>
      <w:r w:rsidRPr="00696E88">
        <w:rPr>
          <w:rFonts w:ascii="CorpoS" w:hAnsi="CorpoS"/>
          <w:sz w:val="22"/>
          <w:szCs w:val="22"/>
          <w:lang w:val="de-DE"/>
        </w:rPr>
        <w:t xml:space="preserve"> </w:t>
      </w:r>
      <w:r w:rsidR="000B624E" w:rsidRPr="00696E88">
        <w:rPr>
          <w:rFonts w:ascii="CorpoS" w:hAnsi="CorpoS"/>
          <w:sz w:val="22"/>
          <w:szCs w:val="22"/>
          <w:lang w:val="de-DE"/>
        </w:rPr>
        <w:t>im Vergleich zum Vorjahr</w:t>
      </w:r>
      <w:r w:rsidR="00696E88" w:rsidRPr="00696E88">
        <w:rPr>
          <w:rFonts w:ascii="CorpoS" w:hAnsi="CorpoS"/>
          <w:sz w:val="22"/>
          <w:szCs w:val="22"/>
          <w:lang w:val="de-DE"/>
        </w:rPr>
        <w:t>eszeitraum</w:t>
      </w:r>
      <w:r w:rsidR="000B624E" w:rsidRPr="00696E88">
        <w:rPr>
          <w:rFonts w:ascii="CorpoS" w:hAnsi="CorpoS"/>
          <w:sz w:val="22"/>
          <w:szCs w:val="22"/>
          <w:lang w:val="de-DE"/>
        </w:rPr>
        <w:t xml:space="preserve"> </w:t>
      </w:r>
      <w:r w:rsidR="00914C9B">
        <w:rPr>
          <w:rFonts w:ascii="CorpoS" w:hAnsi="CorpoS"/>
          <w:sz w:val="22"/>
          <w:szCs w:val="22"/>
          <w:lang w:val="de-DE"/>
        </w:rPr>
        <w:t xml:space="preserve">nahezu </w:t>
      </w:r>
      <w:r w:rsidR="000B624E" w:rsidRPr="00696E88">
        <w:rPr>
          <w:rFonts w:ascii="CorpoS" w:hAnsi="CorpoS"/>
          <w:sz w:val="22"/>
          <w:szCs w:val="22"/>
          <w:lang w:val="de-DE"/>
        </w:rPr>
        <w:t>unverändert (1-9/2020: 219 Mio. €)</w:t>
      </w:r>
      <w:r w:rsidR="00C33551" w:rsidRPr="00696E88">
        <w:rPr>
          <w:rFonts w:ascii="CorpoS" w:hAnsi="CorpoS"/>
          <w:sz w:val="22"/>
          <w:szCs w:val="22"/>
          <w:lang w:val="de-DE"/>
        </w:rPr>
        <w:t>.</w:t>
      </w:r>
    </w:p>
    <w:p w:rsidR="00C51A14" w:rsidRPr="009330AF" w:rsidRDefault="00C51A14" w:rsidP="00C51A14">
      <w:pPr>
        <w:tabs>
          <w:tab w:val="left" w:pos="7655"/>
          <w:tab w:val="left" w:pos="9072"/>
        </w:tabs>
        <w:spacing w:line="300" w:lineRule="exact"/>
        <w:ind w:right="283"/>
        <w:jc w:val="both"/>
        <w:rPr>
          <w:rFonts w:ascii="CorpoS" w:hAnsi="CorpoS"/>
          <w:sz w:val="22"/>
          <w:szCs w:val="22"/>
          <w:lang w:val="de-DE"/>
        </w:rPr>
      </w:pPr>
    </w:p>
    <w:p w:rsidR="007600C0" w:rsidRPr="009330AF" w:rsidRDefault="00C51A14" w:rsidP="007600C0">
      <w:pPr>
        <w:tabs>
          <w:tab w:val="left" w:pos="7655"/>
          <w:tab w:val="left" w:pos="9072"/>
        </w:tabs>
        <w:spacing w:line="300" w:lineRule="exact"/>
        <w:ind w:right="283"/>
        <w:jc w:val="both"/>
        <w:rPr>
          <w:rFonts w:ascii="CorpoS" w:hAnsi="CorpoS"/>
          <w:sz w:val="22"/>
          <w:szCs w:val="22"/>
          <w:lang w:val="de-DE"/>
        </w:rPr>
      </w:pPr>
      <w:r w:rsidRPr="009330AF">
        <w:rPr>
          <w:rFonts w:ascii="CorpoS" w:hAnsi="CorpoS"/>
          <w:sz w:val="22"/>
          <w:szCs w:val="22"/>
          <w:lang w:val="de-DE"/>
        </w:rPr>
        <w:t>„</w:t>
      </w:r>
      <w:r w:rsidR="009330AF" w:rsidRPr="009330AF">
        <w:rPr>
          <w:rFonts w:ascii="CorpoS" w:hAnsi="CorpoS"/>
          <w:sz w:val="22"/>
          <w:szCs w:val="22"/>
          <w:lang w:val="de-DE"/>
        </w:rPr>
        <w:t>Es ist uns gelungen, in einem anhaltend volatilen Marktumfeld stabile Ergebnisse zu liefern. Auf dieser Basis können wir unseren Ausblick für das Gesamtjahr heute weiter präzisieren</w:t>
      </w:r>
      <w:r w:rsidR="008C5630" w:rsidRPr="009330AF">
        <w:rPr>
          <w:rFonts w:ascii="CorpoS" w:hAnsi="CorpoS"/>
          <w:sz w:val="22"/>
          <w:szCs w:val="22"/>
          <w:lang w:val="de-DE"/>
        </w:rPr>
        <w:t xml:space="preserve">“, </w:t>
      </w:r>
      <w:r w:rsidR="004044B7" w:rsidRPr="009330AF">
        <w:rPr>
          <w:rFonts w:ascii="CorpoS" w:hAnsi="CorpoS"/>
          <w:sz w:val="22"/>
          <w:szCs w:val="22"/>
          <w:lang w:val="de-DE"/>
        </w:rPr>
        <w:t>sagte</w:t>
      </w:r>
      <w:r w:rsidR="008C5630" w:rsidRPr="009330AF">
        <w:rPr>
          <w:rFonts w:ascii="CorpoS" w:hAnsi="CorpoS"/>
          <w:sz w:val="22"/>
          <w:szCs w:val="22"/>
          <w:lang w:val="de-DE"/>
        </w:rPr>
        <w:t xml:space="preserve"> Reiner Winkler, Vorstandsvorsitzender der MTU Aero Engines</w:t>
      </w:r>
      <w:r w:rsidR="009330AF" w:rsidRPr="009330AF">
        <w:rPr>
          <w:rFonts w:ascii="CorpoS" w:hAnsi="CorpoS"/>
          <w:sz w:val="22"/>
          <w:szCs w:val="22"/>
          <w:lang w:val="de-DE"/>
        </w:rPr>
        <w:t xml:space="preserve"> AG</w:t>
      </w:r>
      <w:r w:rsidR="008C5630" w:rsidRPr="009330AF">
        <w:rPr>
          <w:rFonts w:ascii="CorpoS" w:hAnsi="CorpoS"/>
          <w:sz w:val="22"/>
          <w:szCs w:val="22"/>
          <w:lang w:val="de-DE"/>
        </w:rPr>
        <w:t>. „</w:t>
      </w:r>
      <w:r w:rsidR="00BF3B42" w:rsidRPr="009330AF">
        <w:rPr>
          <w:rFonts w:ascii="CorpoS" w:hAnsi="CorpoS"/>
          <w:sz w:val="22"/>
          <w:szCs w:val="22"/>
          <w:lang w:val="de-DE"/>
        </w:rPr>
        <w:t>Wir gehen jetzt von einem Jahresu</w:t>
      </w:r>
      <w:r w:rsidR="00A00B0A" w:rsidRPr="009330AF">
        <w:rPr>
          <w:rFonts w:ascii="CorpoS" w:hAnsi="CorpoS"/>
          <w:sz w:val="22"/>
          <w:szCs w:val="22"/>
          <w:lang w:val="de-DE"/>
        </w:rPr>
        <w:t>msatz zwischen 4</w:t>
      </w:r>
      <w:r w:rsidR="009330AF" w:rsidRPr="009330AF">
        <w:rPr>
          <w:rFonts w:ascii="CorpoS" w:hAnsi="CorpoS"/>
          <w:sz w:val="22"/>
          <w:szCs w:val="22"/>
          <w:lang w:val="de-DE"/>
        </w:rPr>
        <w:t>,3 und 4,4</w:t>
      </w:r>
      <w:r w:rsidR="00A00B0A" w:rsidRPr="009330AF">
        <w:rPr>
          <w:rFonts w:ascii="CorpoS" w:hAnsi="CorpoS"/>
          <w:sz w:val="22"/>
          <w:szCs w:val="22"/>
          <w:lang w:val="de-DE"/>
        </w:rPr>
        <w:t xml:space="preserve"> Mrd. € aus. Die bereinigte EBIT-Marge dürfte mit rund 10</w:t>
      </w:r>
      <w:r w:rsidR="009330AF" w:rsidRPr="009330AF">
        <w:rPr>
          <w:rFonts w:ascii="CorpoS" w:hAnsi="CorpoS"/>
          <w:sz w:val="22"/>
          <w:szCs w:val="22"/>
          <w:lang w:val="de-DE"/>
        </w:rPr>
        <w:t>,5</w:t>
      </w:r>
      <w:r w:rsidR="00A00B0A" w:rsidRPr="009330AF">
        <w:rPr>
          <w:rFonts w:ascii="CorpoS" w:hAnsi="CorpoS"/>
          <w:sz w:val="22"/>
          <w:szCs w:val="22"/>
          <w:lang w:val="de-DE"/>
        </w:rPr>
        <w:t xml:space="preserve"> % das obere Ende der bisher prognostizierten Spanne erreichen.“ Ende Juli hatte die MTU die Umsatz-Zielspanne mit 4</w:t>
      </w:r>
      <w:r w:rsidR="009330AF" w:rsidRPr="009330AF">
        <w:rPr>
          <w:rFonts w:ascii="CorpoS" w:hAnsi="CorpoS"/>
          <w:sz w:val="22"/>
          <w:szCs w:val="22"/>
          <w:lang w:val="de-DE"/>
        </w:rPr>
        <w:t>,3</w:t>
      </w:r>
      <w:r w:rsidR="00A00B0A" w:rsidRPr="009330AF">
        <w:rPr>
          <w:rFonts w:ascii="CorpoS" w:hAnsi="CorpoS"/>
          <w:sz w:val="22"/>
          <w:szCs w:val="22"/>
          <w:lang w:val="de-DE"/>
        </w:rPr>
        <w:t xml:space="preserve"> bis</w:t>
      </w:r>
      <w:r w:rsidR="00421E42">
        <w:rPr>
          <w:rFonts w:ascii="CorpoS" w:hAnsi="CorpoS"/>
          <w:sz w:val="22"/>
          <w:szCs w:val="22"/>
          <w:lang w:val="de-DE"/>
        </w:rPr>
        <w:br w:type="textWrapping" w:clear="all"/>
      </w:r>
      <w:r w:rsidR="00A00B0A" w:rsidRPr="009330AF">
        <w:rPr>
          <w:rFonts w:ascii="CorpoS" w:hAnsi="CorpoS"/>
          <w:sz w:val="22"/>
          <w:szCs w:val="22"/>
          <w:lang w:val="de-DE"/>
        </w:rPr>
        <w:t>4,</w:t>
      </w:r>
      <w:r w:rsidR="009330AF" w:rsidRPr="009330AF">
        <w:rPr>
          <w:rFonts w:ascii="CorpoS" w:hAnsi="CorpoS"/>
          <w:sz w:val="22"/>
          <w:szCs w:val="22"/>
          <w:lang w:val="de-DE"/>
        </w:rPr>
        <w:t>5</w:t>
      </w:r>
      <w:r w:rsidR="00A00B0A" w:rsidRPr="009330AF">
        <w:rPr>
          <w:rFonts w:ascii="CorpoS" w:hAnsi="CorpoS"/>
          <w:sz w:val="22"/>
          <w:szCs w:val="22"/>
          <w:lang w:val="de-DE"/>
        </w:rPr>
        <w:t xml:space="preserve"> Mrd. € noch etwas weiter gefasst und </w:t>
      </w:r>
      <w:r w:rsidR="00163A39" w:rsidRPr="009330AF">
        <w:rPr>
          <w:rFonts w:ascii="CorpoS" w:hAnsi="CorpoS"/>
          <w:sz w:val="22"/>
          <w:szCs w:val="22"/>
          <w:lang w:val="de-DE"/>
        </w:rPr>
        <w:t>war von einer</w:t>
      </w:r>
      <w:r w:rsidR="00A00B0A" w:rsidRPr="009330AF">
        <w:rPr>
          <w:rFonts w:ascii="CorpoS" w:hAnsi="CorpoS"/>
          <w:sz w:val="22"/>
          <w:szCs w:val="22"/>
          <w:lang w:val="de-DE"/>
        </w:rPr>
        <w:t xml:space="preserve"> bereinigte</w:t>
      </w:r>
      <w:r w:rsidR="00163A39" w:rsidRPr="009330AF">
        <w:rPr>
          <w:rFonts w:ascii="CorpoS" w:hAnsi="CorpoS"/>
          <w:sz w:val="22"/>
          <w:szCs w:val="22"/>
          <w:lang w:val="de-DE"/>
        </w:rPr>
        <w:t>n</w:t>
      </w:r>
      <w:r w:rsidR="00A00B0A" w:rsidRPr="009330AF">
        <w:rPr>
          <w:rFonts w:ascii="CorpoS" w:hAnsi="CorpoS"/>
          <w:sz w:val="22"/>
          <w:szCs w:val="22"/>
          <w:lang w:val="de-DE"/>
        </w:rPr>
        <w:t xml:space="preserve"> EBIT-Marge zwischen </w:t>
      </w:r>
      <w:r w:rsidR="009330AF" w:rsidRPr="009330AF">
        <w:rPr>
          <w:rFonts w:ascii="CorpoS" w:hAnsi="CorpoS"/>
          <w:sz w:val="22"/>
          <w:szCs w:val="22"/>
          <w:lang w:val="de-DE"/>
        </w:rPr>
        <w:t>10</w:t>
      </w:r>
      <w:r w:rsidR="00A00B0A" w:rsidRPr="009330AF">
        <w:rPr>
          <w:rFonts w:ascii="CorpoS" w:hAnsi="CorpoS"/>
          <w:sz w:val="22"/>
          <w:szCs w:val="22"/>
          <w:lang w:val="de-DE"/>
        </w:rPr>
        <w:t xml:space="preserve"> und </w:t>
      </w:r>
      <w:r w:rsidR="00421E42">
        <w:rPr>
          <w:rFonts w:ascii="CorpoS" w:hAnsi="CorpoS"/>
          <w:sz w:val="22"/>
          <w:szCs w:val="22"/>
          <w:lang w:val="de-DE"/>
        </w:rPr>
        <w:br w:type="textWrapping" w:clear="all"/>
      </w:r>
      <w:r w:rsidR="00A00B0A" w:rsidRPr="009330AF">
        <w:rPr>
          <w:rFonts w:ascii="CorpoS" w:hAnsi="CorpoS"/>
          <w:sz w:val="22"/>
          <w:szCs w:val="22"/>
          <w:lang w:val="de-DE"/>
        </w:rPr>
        <w:t>10</w:t>
      </w:r>
      <w:r w:rsidR="009330AF" w:rsidRPr="009330AF">
        <w:rPr>
          <w:rFonts w:ascii="CorpoS" w:hAnsi="CorpoS"/>
          <w:sz w:val="22"/>
          <w:szCs w:val="22"/>
          <w:lang w:val="de-DE"/>
        </w:rPr>
        <w:t>,5</w:t>
      </w:r>
      <w:r w:rsidR="00A00B0A" w:rsidRPr="009330AF">
        <w:rPr>
          <w:rFonts w:ascii="CorpoS" w:hAnsi="CorpoS"/>
          <w:sz w:val="22"/>
          <w:szCs w:val="22"/>
          <w:lang w:val="de-DE"/>
        </w:rPr>
        <w:t xml:space="preserve"> % </w:t>
      </w:r>
      <w:r w:rsidR="00163A39" w:rsidRPr="009330AF">
        <w:rPr>
          <w:rFonts w:ascii="CorpoS" w:hAnsi="CorpoS"/>
          <w:sz w:val="22"/>
          <w:szCs w:val="22"/>
          <w:lang w:val="de-DE"/>
        </w:rPr>
        <w:t>ausgegangen</w:t>
      </w:r>
      <w:r w:rsidR="00A76F73" w:rsidRPr="009330AF">
        <w:rPr>
          <w:rFonts w:ascii="CorpoS" w:hAnsi="CorpoS"/>
          <w:sz w:val="22"/>
          <w:szCs w:val="22"/>
          <w:lang w:val="de-DE"/>
        </w:rPr>
        <w:t>.</w:t>
      </w:r>
      <w:r w:rsidR="00163A39" w:rsidRPr="009330AF">
        <w:rPr>
          <w:rFonts w:ascii="CorpoS" w:hAnsi="CorpoS"/>
          <w:sz w:val="22"/>
          <w:szCs w:val="22"/>
          <w:lang w:val="de-DE"/>
        </w:rPr>
        <w:t xml:space="preserve"> Das Unternehmen erwartet, dass sich der bereinigte Gewinn nach Steuern analog zum operativen Ergebnis entwickelt.</w:t>
      </w:r>
    </w:p>
    <w:p w:rsidR="00A00B0A" w:rsidRPr="009330AF" w:rsidRDefault="00A00B0A" w:rsidP="007600C0">
      <w:pPr>
        <w:tabs>
          <w:tab w:val="left" w:pos="7655"/>
          <w:tab w:val="left" w:pos="9072"/>
        </w:tabs>
        <w:spacing w:line="300" w:lineRule="exact"/>
        <w:ind w:right="283"/>
        <w:jc w:val="both"/>
        <w:rPr>
          <w:rFonts w:ascii="CorpoS" w:hAnsi="CorpoS"/>
          <w:sz w:val="22"/>
          <w:szCs w:val="22"/>
          <w:lang w:val="de-DE"/>
        </w:rPr>
      </w:pPr>
    </w:p>
    <w:p w:rsidR="00187B91" w:rsidRPr="00187B91" w:rsidRDefault="00187B91" w:rsidP="00C51A14">
      <w:pPr>
        <w:spacing w:line="300" w:lineRule="exact"/>
        <w:ind w:right="283"/>
        <w:jc w:val="both"/>
        <w:rPr>
          <w:rFonts w:ascii="CorpoS" w:hAnsi="CorpoS"/>
          <w:sz w:val="22"/>
          <w:szCs w:val="22"/>
          <w:lang w:val="de-DE"/>
        </w:rPr>
      </w:pPr>
      <w:r w:rsidRPr="00187B91">
        <w:rPr>
          <w:rFonts w:ascii="CorpoS" w:hAnsi="CorpoS"/>
          <w:sz w:val="22"/>
          <w:szCs w:val="22"/>
          <w:lang w:val="de-DE"/>
        </w:rPr>
        <w:t xml:space="preserve">Der Umsatz der MTU war in den ersten neun Monaten vom US-Dollar-Wechselkurs beeinflusst. </w:t>
      </w:r>
      <w:r w:rsidR="00F57A2F">
        <w:rPr>
          <w:rFonts w:ascii="CorpoS" w:hAnsi="CorpoS"/>
          <w:sz w:val="22"/>
          <w:szCs w:val="22"/>
          <w:lang w:val="de-DE"/>
        </w:rPr>
        <w:t xml:space="preserve">Finanzvorstand Peter </w:t>
      </w:r>
      <w:proofErr w:type="spellStart"/>
      <w:r w:rsidR="00F57A2F">
        <w:rPr>
          <w:rFonts w:ascii="CorpoS" w:hAnsi="CorpoS"/>
          <w:sz w:val="22"/>
          <w:szCs w:val="22"/>
          <w:lang w:val="de-DE"/>
        </w:rPr>
        <w:t>Kameritsch</w:t>
      </w:r>
      <w:proofErr w:type="spellEnd"/>
      <w:r w:rsidRPr="00187B91">
        <w:rPr>
          <w:rFonts w:ascii="CorpoS" w:hAnsi="CorpoS"/>
          <w:sz w:val="22"/>
          <w:szCs w:val="22"/>
          <w:lang w:val="de-DE"/>
        </w:rPr>
        <w:t xml:space="preserve">: „Die Kursentwicklung hat für Gegenwind gesorgt. </w:t>
      </w:r>
      <w:r>
        <w:rPr>
          <w:rFonts w:ascii="CorpoS" w:hAnsi="CorpoS"/>
          <w:sz w:val="22"/>
          <w:szCs w:val="22"/>
          <w:lang w:val="de-DE"/>
        </w:rPr>
        <w:t>In Dollar betrachtet</w:t>
      </w:r>
      <w:r w:rsidRPr="00187B91">
        <w:rPr>
          <w:rFonts w:ascii="CorpoS" w:hAnsi="CorpoS"/>
          <w:sz w:val="22"/>
          <w:szCs w:val="22"/>
          <w:lang w:val="de-DE"/>
        </w:rPr>
        <w:t xml:space="preserve"> liegt das Umsatzplus in den ersten neun Monaten bei 8 %.“</w:t>
      </w:r>
    </w:p>
    <w:p w:rsidR="00187B91" w:rsidRPr="00F302B5" w:rsidRDefault="00187B91" w:rsidP="00C51A14">
      <w:pPr>
        <w:spacing w:line="300" w:lineRule="exact"/>
        <w:ind w:right="283"/>
        <w:jc w:val="both"/>
        <w:rPr>
          <w:rFonts w:ascii="CorpoS" w:hAnsi="CorpoS"/>
          <w:sz w:val="22"/>
          <w:szCs w:val="22"/>
          <w:lang w:val="de-DE"/>
        </w:rPr>
      </w:pPr>
    </w:p>
    <w:p w:rsidR="00CB325E" w:rsidRPr="00F302B5" w:rsidRDefault="00187B91" w:rsidP="00C51A14">
      <w:pPr>
        <w:spacing w:line="300" w:lineRule="exact"/>
        <w:ind w:right="283"/>
        <w:jc w:val="both"/>
        <w:rPr>
          <w:rFonts w:ascii="CorpoS" w:hAnsi="CorpoS"/>
          <w:sz w:val="22"/>
          <w:szCs w:val="22"/>
          <w:lang w:val="de-DE"/>
        </w:rPr>
      </w:pPr>
      <w:r w:rsidRPr="00F302B5">
        <w:rPr>
          <w:rFonts w:ascii="CorpoS" w:hAnsi="CorpoS"/>
          <w:sz w:val="22"/>
          <w:szCs w:val="22"/>
          <w:lang w:val="de-DE"/>
        </w:rPr>
        <w:t xml:space="preserve">Auf Euro-Basis ist der Umsatz der MTU </w:t>
      </w:r>
      <w:r w:rsidR="0030683D" w:rsidRPr="00F302B5">
        <w:rPr>
          <w:rFonts w:ascii="CorpoS" w:hAnsi="CorpoS"/>
          <w:sz w:val="22"/>
          <w:szCs w:val="22"/>
          <w:lang w:val="de-DE"/>
        </w:rPr>
        <w:t>i</w:t>
      </w:r>
      <w:r w:rsidR="00F57E3F" w:rsidRPr="00F302B5">
        <w:rPr>
          <w:rFonts w:ascii="CorpoS" w:hAnsi="CorpoS"/>
          <w:sz w:val="22"/>
          <w:szCs w:val="22"/>
          <w:lang w:val="de-DE"/>
        </w:rPr>
        <w:t xml:space="preserve">n den ersten neun Monaten </w:t>
      </w:r>
      <w:r w:rsidR="004803BB" w:rsidRPr="00F302B5">
        <w:rPr>
          <w:rFonts w:ascii="CorpoS" w:hAnsi="CorpoS"/>
          <w:sz w:val="22"/>
          <w:szCs w:val="22"/>
          <w:lang w:val="de-DE"/>
        </w:rPr>
        <w:t>20</w:t>
      </w:r>
      <w:r w:rsidR="0030683D" w:rsidRPr="00F302B5">
        <w:rPr>
          <w:rFonts w:ascii="CorpoS" w:hAnsi="CorpoS"/>
          <w:sz w:val="22"/>
          <w:szCs w:val="22"/>
          <w:lang w:val="de-DE"/>
        </w:rPr>
        <w:t>2</w:t>
      </w:r>
      <w:r w:rsidR="00CB325E" w:rsidRPr="00F302B5">
        <w:rPr>
          <w:rFonts w:ascii="CorpoS" w:hAnsi="CorpoS"/>
          <w:sz w:val="22"/>
          <w:szCs w:val="22"/>
          <w:lang w:val="de-DE"/>
        </w:rPr>
        <w:t xml:space="preserve">1 </w:t>
      </w:r>
      <w:r w:rsidRPr="00F302B5">
        <w:rPr>
          <w:rFonts w:ascii="CorpoS" w:hAnsi="CorpoS"/>
          <w:sz w:val="22"/>
          <w:szCs w:val="22"/>
          <w:lang w:val="de-DE"/>
        </w:rPr>
        <w:t xml:space="preserve">sowohl </w:t>
      </w:r>
      <w:r w:rsidR="00CB325E" w:rsidRPr="00F302B5">
        <w:rPr>
          <w:rFonts w:ascii="CorpoS" w:hAnsi="CorpoS"/>
          <w:sz w:val="22"/>
          <w:szCs w:val="22"/>
          <w:lang w:val="de-DE"/>
        </w:rPr>
        <w:t xml:space="preserve">in der zivilen Instandhaltung </w:t>
      </w:r>
      <w:r w:rsidRPr="00F302B5">
        <w:rPr>
          <w:rFonts w:ascii="CorpoS" w:hAnsi="CorpoS"/>
          <w:sz w:val="22"/>
          <w:szCs w:val="22"/>
          <w:lang w:val="de-DE"/>
        </w:rPr>
        <w:t xml:space="preserve">als auch </w:t>
      </w:r>
      <w:r w:rsidR="00CB325E" w:rsidRPr="00F302B5">
        <w:rPr>
          <w:rFonts w:ascii="CorpoS" w:hAnsi="CorpoS"/>
          <w:sz w:val="22"/>
          <w:szCs w:val="22"/>
          <w:lang w:val="de-DE"/>
        </w:rPr>
        <w:t xml:space="preserve">im Militärgeschäft </w:t>
      </w:r>
      <w:r w:rsidRPr="00F302B5">
        <w:rPr>
          <w:rFonts w:ascii="CorpoS" w:hAnsi="CorpoS"/>
          <w:sz w:val="22"/>
          <w:szCs w:val="22"/>
          <w:lang w:val="de-DE"/>
        </w:rPr>
        <w:t>gestiegen</w:t>
      </w:r>
      <w:r w:rsidR="00CB325E" w:rsidRPr="00F302B5">
        <w:rPr>
          <w:rFonts w:ascii="CorpoS" w:hAnsi="CorpoS"/>
          <w:sz w:val="22"/>
          <w:szCs w:val="22"/>
          <w:lang w:val="de-DE"/>
        </w:rPr>
        <w:t>.</w:t>
      </w:r>
    </w:p>
    <w:p w:rsidR="00CB325E" w:rsidRPr="00F302B5" w:rsidRDefault="00CB325E" w:rsidP="00C51A14">
      <w:pPr>
        <w:spacing w:line="300" w:lineRule="exact"/>
        <w:ind w:right="283"/>
        <w:jc w:val="both"/>
        <w:rPr>
          <w:rFonts w:ascii="CorpoS" w:hAnsi="CorpoS"/>
          <w:sz w:val="22"/>
          <w:szCs w:val="22"/>
          <w:lang w:val="de-DE"/>
        </w:rPr>
      </w:pPr>
    </w:p>
    <w:p w:rsidR="00CB325E" w:rsidRPr="00694F51" w:rsidRDefault="00CB325E" w:rsidP="00C51A14">
      <w:pPr>
        <w:spacing w:line="300" w:lineRule="exact"/>
        <w:ind w:right="283"/>
        <w:jc w:val="both"/>
        <w:rPr>
          <w:rFonts w:ascii="CorpoS" w:hAnsi="CorpoS"/>
          <w:sz w:val="22"/>
          <w:szCs w:val="22"/>
          <w:lang w:val="de-DE"/>
        </w:rPr>
      </w:pPr>
      <w:r w:rsidRPr="00F302B5">
        <w:rPr>
          <w:rFonts w:ascii="CorpoS" w:hAnsi="CorpoS"/>
          <w:sz w:val="22"/>
          <w:szCs w:val="22"/>
          <w:lang w:val="de-DE"/>
        </w:rPr>
        <w:t>In der zivilen Instandhaltung hat der Umsatz um 8 % auf 2.010 Mio. € zugenommen (1-9/2020: 1.866 Mio. €).</w:t>
      </w:r>
      <w:r w:rsidR="00187B91" w:rsidRPr="00F302B5">
        <w:rPr>
          <w:rFonts w:ascii="CorpoS" w:hAnsi="CorpoS"/>
          <w:sz w:val="22"/>
          <w:szCs w:val="22"/>
          <w:lang w:val="de-DE"/>
        </w:rPr>
        <w:t xml:space="preserve"> </w:t>
      </w:r>
      <w:r w:rsidR="0062319C" w:rsidRPr="00F302B5">
        <w:rPr>
          <w:rFonts w:ascii="CorpoS" w:hAnsi="CorpoS"/>
          <w:sz w:val="22"/>
          <w:szCs w:val="22"/>
          <w:lang w:val="de-DE"/>
        </w:rPr>
        <w:t xml:space="preserve">„Wie bereits in den Vorquartalen </w:t>
      </w:r>
      <w:r w:rsidR="00822C91" w:rsidRPr="00F302B5">
        <w:rPr>
          <w:rFonts w:ascii="CorpoS" w:hAnsi="CorpoS"/>
          <w:sz w:val="22"/>
          <w:szCs w:val="22"/>
          <w:lang w:val="de-DE"/>
        </w:rPr>
        <w:t xml:space="preserve">setzte sich der Mix in der zivilen Instandhaltung aus rund </w:t>
      </w:r>
      <w:r w:rsidR="00421E42">
        <w:rPr>
          <w:rFonts w:ascii="CorpoS" w:hAnsi="CorpoS"/>
          <w:sz w:val="22"/>
          <w:szCs w:val="22"/>
          <w:lang w:val="de-DE"/>
        </w:rPr>
        <w:br w:type="textWrapping" w:clear="all"/>
      </w:r>
      <w:r w:rsidR="00822C91" w:rsidRPr="00F302B5">
        <w:rPr>
          <w:rFonts w:ascii="CorpoS" w:hAnsi="CorpoS"/>
          <w:sz w:val="22"/>
          <w:szCs w:val="22"/>
          <w:lang w:val="de-DE"/>
        </w:rPr>
        <w:t>60 % MRO-Arbeiten in unserem Kerngeschäft und 40 % Instandhaltungsaktivitäten am Getriebefan zusammen“, ergän</w:t>
      </w:r>
      <w:r w:rsidR="009306FF">
        <w:rPr>
          <w:rFonts w:ascii="CorpoS" w:hAnsi="CorpoS"/>
          <w:sz w:val="22"/>
          <w:szCs w:val="22"/>
          <w:lang w:val="de-DE"/>
        </w:rPr>
        <w:t>zte Winkler. D</w:t>
      </w:r>
      <w:r w:rsidR="00822C91" w:rsidRPr="00F302B5">
        <w:rPr>
          <w:rFonts w:ascii="CorpoS" w:hAnsi="CorpoS"/>
          <w:sz w:val="22"/>
          <w:szCs w:val="22"/>
          <w:lang w:val="de-DE"/>
        </w:rPr>
        <w:t xml:space="preserve">as PW1100G-JM, das in der A320neo zum Einsatz kommt, und das V2500 für die klassische A320-Familie </w:t>
      </w:r>
      <w:r w:rsidR="009306FF">
        <w:rPr>
          <w:rFonts w:ascii="CorpoS" w:hAnsi="CorpoS"/>
          <w:sz w:val="22"/>
          <w:szCs w:val="22"/>
          <w:lang w:val="de-DE"/>
        </w:rPr>
        <w:t xml:space="preserve">waren </w:t>
      </w:r>
      <w:r w:rsidR="00822C91" w:rsidRPr="00F302B5">
        <w:rPr>
          <w:rFonts w:ascii="CorpoS" w:hAnsi="CorpoS"/>
          <w:sz w:val="22"/>
          <w:szCs w:val="22"/>
          <w:lang w:val="de-DE"/>
        </w:rPr>
        <w:t>die wichtigsten Umsatzträger in der zivilen In</w:t>
      </w:r>
      <w:r w:rsidR="00822C91" w:rsidRPr="00694F51">
        <w:rPr>
          <w:rFonts w:ascii="CorpoS" w:hAnsi="CorpoS"/>
          <w:sz w:val="22"/>
          <w:szCs w:val="22"/>
          <w:lang w:val="de-DE"/>
        </w:rPr>
        <w:t>standhaltung.</w:t>
      </w:r>
      <w:r w:rsidR="00F302B5" w:rsidRPr="00694F51">
        <w:rPr>
          <w:rFonts w:ascii="CorpoS" w:hAnsi="CorpoS"/>
          <w:sz w:val="22"/>
          <w:szCs w:val="22"/>
          <w:lang w:val="de-DE"/>
        </w:rPr>
        <w:t xml:space="preserve"> </w:t>
      </w:r>
      <w:r w:rsidR="009306FF">
        <w:rPr>
          <w:rFonts w:ascii="CorpoS" w:hAnsi="CorpoS"/>
          <w:sz w:val="22"/>
          <w:szCs w:val="22"/>
          <w:lang w:val="de-DE"/>
        </w:rPr>
        <w:t>Winkler weiter: „</w:t>
      </w:r>
      <w:r w:rsidR="00EF2DA6">
        <w:rPr>
          <w:rFonts w:ascii="CorpoS" w:hAnsi="CorpoS"/>
          <w:sz w:val="22"/>
          <w:szCs w:val="22"/>
          <w:lang w:val="de-DE"/>
        </w:rPr>
        <w:t>M</w:t>
      </w:r>
      <w:r w:rsidR="00FF5D25" w:rsidRPr="00C71470">
        <w:rPr>
          <w:rFonts w:ascii="CorpoS" w:hAnsi="CorpoS"/>
          <w:sz w:val="22"/>
          <w:szCs w:val="22"/>
          <w:lang w:val="de-DE"/>
        </w:rPr>
        <w:t>anche Programme</w:t>
      </w:r>
      <w:r w:rsidR="00EF2DA6">
        <w:rPr>
          <w:rFonts w:ascii="CorpoS" w:hAnsi="CorpoS"/>
          <w:sz w:val="22"/>
          <w:szCs w:val="22"/>
          <w:lang w:val="de-DE"/>
        </w:rPr>
        <w:t xml:space="preserve"> hatten im abgelaufenen Quartal einen</w:t>
      </w:r>
      <w:r w:rsidR="00FF5D25" w:rsidRPr="00C71470">
        <w:rPr>
          <w:rFonts w:ascii="CorpoS" w:hAnsi="CorpoS"/>
          <w:sz w:val="22"/>
          <w:szCs w:val="22"/>
          <w:lang w:val="de-DE"/>
        </w:rPr>
        <w:t xml:space="preserve"> weniger </w:t>
      </w:r>
      <w:r w:rsidR="00617CD4" w:rsidRPr="00C71470">
        <w:rPr>
          <w:rFonts w:ascii="CorpoS" w:hAnsi="CorpoS"/>
          <w:sz w:val="22"/>
          <w:szCs w:val="22"/>
          <w:lang w:val="de-DE"/>
        </w:rPr>
        <w:t>umfangreichen</w:t>
      </w:r>
      <w:r w:rsidR="00FF5D25" w:rsidRPr="00C71470">
        <w:rPr>
          <w:rFonts w:ascii="CorpoS" w:hAnsi="CorpoS"/>
          <w:sz w:val="22"/>
          <w:szCs w:val="22"/>
          <w:lang w:val="de-DE"/>
        </w:rPr>
        <w:t xml:space="preserve"> MRO-Bedarf </w:t>
      </w:r>
      <w:r w:rsidR="009306FF" w:rsidRPr="00C71470">
        <w:rPr>
          <w:rFonts w:ascii="CorpoS" w:hAnsi="CorpoS"/>
          <w:sz w:val="22"/>
          <w:szCs w:val="22"/>
          <w:lang w:val="de-DE"/>
        </w:rPr>
        <w:t xml:space="preserve">als </w:t>
      </w:r>
      <w:r w:rsidR="00EF2DA6">
        <w:rPr>
          <w:rFonts w:ascii="CorpoS" w:hAnsi="CorpoS"/>
          <w:sz w:val="22"/>
          <w:szCs w:val="22"/>
          <w:lang w:val="de-DE"/>
        </w:rPr>
        <w:t>erwartet</w:t>
      </w:r>
      <w:r w:rsidR="009306FF">
        <w:rPr>
          <w:rFonts w:ascii="CorpoS" w:hAnsi="CorpoS"/>
          <w:sz w:val="22"/>
          <w:szCs w:val="22"/>
          <w:lang w:val="de-DE"/>
        </w:rPr>
        <w:t xml:space="preserve">. </w:t>
      </w:r>
      <w:r w:rsidR="00EF2DA6">
        <w:rPr>
          <w:rFonts w:ascii="CorpoS" w:hAnsi="CorpoS"/>
          <w:sz w:val="22"/>
          <w:szCs w:val="22"/>
          <w:lang w:val="de-DE"/>
        </w:rPr>
        <w:t>Das wirkt sich auf das Gesamtjahr aus: Der</w:t>
      </w:r>
      <w:r w:rsidR="00FF7184">
        <w:rPr>
          <w:rFonts w:ascii="CorpoS" w:hAnsi="CorpoS"/>
          <w:sz w:val="22"/>
          <w:szCs w:val="22"/>
          <w:lang w:val="de-DE"/>
        </w:rPr>
        <w:t xml:space="preserve"> </w:t>
      </w:r>
      <w:r w:rsidR="009306FF">
        <w:rPr>
          <w:rFonts w:ascii="CorpoS" w:hAnsi="CorpoS"/>
          <w:sz w:val="22"/>
          <w:szCs w:val="22"/>
          <w:lang w:val="de-DE"/>
        </w:rPr>
        <w:t>Umsatz</w:t>
      </w:r>
      <w:r w:rsidR="00FF7184">
        <w:rPr>
          <w:rFonts w:ascii="CorpoS" w:hAnsi="CorpoS"/>
          <w:sz w:val="22"/>
          <w:szCs w:val="22"/>
          <w:lang w:val="de-DE"/>
        </w:rPr>
        <w:t xml:space="preserve"> der zivilen Instandhaltung </w:t>
      </w:r>
      <w:r w:rsidR="00EF2DA6">
        <w:rPr>
          <w:rFonts w:ascii="CorpoS" w:hAnsi="CorpoS"/>
          <w:sz w:val="22"/>
          <w:szCs w:val="22"/>
          <w:lang w:val="de-DE"/>
        </w:rPr>
        <w:t>dürfte 2021</w:t>
      </w:r>
      <w:r w:rsidR="009306FF">
        <w:rPr>
          <w:rFonts w:ascii="CorpoS" w:hAnsi="CorpoS"/>
          <w:sz w:val="22"/>
          <w:szCs w:val="22"/>
          <w:lang w:val="de-DE"/>
        </w:rPr>
        <w:t xml:space="preserve"> im mittleren Zehner-Prozentbereich steigen.“ Zum Halbjahr hatte die MTU einen Umsatzanstieg zwischen 15 und 20 % für die zivile </w:t>
      </w:r>
      <w:r w:rsidR="00FF7184">
        <w:rPr>
          <w:rFonts w:ascii="CorpoS" w:hAnsi="CorpoS"/>
          <w:sz w:val="22"/>
          <w:szCs w:val="22"/>
          <w:lang w:val="de-DE"/>
        </w:rPr>
        <w:t>MRO</w:t>
      </w:r>
      <w:r w:rsidR="009306FF">
        <w:rPr>
          <w:rFonts w:ascii="CorpoS" w:hAnsi="CorpoS"/>
          <w:sz w:val="22"/>
          <w:szCs w:val="22"/>
          <w:lang w:val="de-DE"/>
        </w:rPr>
        <w:t xml:space="preserve"> angenommen.</w:t>
      </w:r>
    </w:p>
    <w:p w:rsidR="00CB325E" w:rsidRPr="00694F51" w:rsidRDefault="00CB325E" w:rsidP="00C51A14">
      <w:pPr>
        <w:spacing w:line="300" w:lineRule="exact"/>
        <w:ind w:right="283"/>
        <w:jc w:val="both"/>
        <w:rPr>
          <w:rFonts w:ascii="CorpoS" w:hAnsi="CorpoS"/>
          <w:sz w:val="22"/>
          <w:szCs w:val="22"/>
          <w:lang w:val="de-DE"/>
        </w:rPr>
      </w:pPr>
    </w:p>
    <w:p w:rsidR="00DD5E3F" w:rsidRPr="00694F51" w:rsidRDefault="00DD5E3F" w:rsidP="00DD5E3F">
      <w:pPr>
        <w:spacing w:line="300" w:lineRule="exact"/>
        <w:ind w:right="283"/>
        <w:jc w:val="both"/>
        <w:rPr>
          <w:rFonts w:ascii="CorpoS" w:hAnsi="CorpoS"/>
          <w:sz w:val="22"/>
          <w:szCs w:val="22"/>
          <w:lang w:val="de-DE"/>
        </w:rPr>
      </w:pPr>
      <w:r w:rsidRPr="00694F51">
        <w:rPr>
          <w:rFonts w:ascii="CorpoS" w:hAnsi="CorpoS"/>
          <w:sz w:val="22"/>
          <w:szCs w:val="22"/>
          <w:lang w:val="de-DE"/>
        </w:rPr>
        <w:lastRenderedPageBreak/>
        <w:t>Im militärischen Triebwerksgeschäft ist der Umsatz von 296 Mio. € auf 310 Mio. € gestiegen. Der wichtigste Umsatzträger war das Eurofighter-Triebwerk EJ200. Winkler: „</w:t>
      </w:r>
      <w:r w:rsidR="00694F51" w:rsidRPr="00694F51">
        <w:rPr>
          <w:rFonts w:ascii="CorpoS" w:hAnsi="CorpoS"/>
          <w:sz w:val="22"/>
          <w:szCs w:val="22"/>
          <w:lang w:val="de-DE"/>
        </w:rPr>
        <w:t>Kleinere Verzögerungen in der Lieferkette dürften im Mi</w:t>
      </w:r>
      <w:r w:rsidR="008B3B18">
        <w:rPr>
          <w:rFonts w:ascii="CorpoS" w:hAnsi="CorpoS"/>
          <w:sz w:val="22"/>
          <w:szCs w:val="22"/>
          <w:lang w:val="de-DE"/>
        </w:rPr>
        <w:t xml:space="preserve">litärgeschäft dazu führen, dass sich </w:t>
      </w:r>
      <w:r w:rsidR="005372F6">
        <w:rPr>
          <w:rFonts w:ascii="CorpoS" w:hAnsi="CorpoS"/>
          <w:sz w:val="22"/>
          <w:szCs w:val="22"/>
          <w:lang w:val="de-DE"/>
        </w:rPr>
        <w:t>Auslieferungen</w:t>
      </w:r>
      <w:r w:rsidR="00694F51" w:rsidRPr="00694F51">
        <w:rPr>
          <w:rFonts w:ascii="CorpoS" w:hAnsi="CorpoS"/>
          <w:sz w:val="22"/>
          <w:szCs w:val="22"/>
          <w:lang w:val="de-DE"/>
        </w:rPr>
        <w:t xml:space="preserve"> ins kommende Jahr versch</w:t>
      </w:r>
      <w:r w:rsidR="008B3B18">
        <w:rPr>
          <w:rFonts w:ascii="CorpoS" w:hAnsi="CorpoS"/>
          <w:sz w:val="22"/>
          <w:szCs w:val="22"/>
          <w:lang w:val="de-DE"/>
        </w:rPr>
        <w:t>ieb</w:t>
      </w:r>
      <w:r w:rsidR="005372F6">
        <w:rPr>
          <w:rFonts w:ascii="CorpoS" w:hAnsi="CorpoS"/>
          <w:sz w:val="22"/>
          <w:szCs w:val="22"/>
          <w:lang w:val="de-DE"/>
        </w:rPr>
        <w:t>en</w:t>
      </w:r>
      <w:r w:rsidR="00694F51" w:rsidRPr="00694F51">
        <w:rPr>
          <w:rFonts w:ascii="CorpoS" w:hAnsi="CorpoS"/>
          <w:sz w:val="22"/>
          <w:szCs w:val="22"/>
          <w:lang w:val="de-DE"/>
        </w:rPr>
        <w:t xml:space="preserve">. </w:t>
      </w:r>
      <w:r w:rsidR="00564226">
        <w:rPr>
          <w:rFonts w:ascii="CorpoS" w:hAnsi="CorpoS"/>
          <w:sz w:val="22"/>
          <w:szCs w:val="22"/>
          <w:lang w:val="de-DE"/>
        </w:rPr>
        <w:t>Unsere Umsatzerwartung für das G</w:t>
      </w:r>
      <w:r w:rsidR="00694F51" w:rsidRPr="00694F51">
        <w:rPr>
          <w:rFonts w:ascii="CorpoS" w:hAnsi="CorpoS"/>
          <w:sz w:val="22"/>
          <w:szCs w:val="22"/>
          <w:lang w:val="de-DE"/>
        </w:rPr>
        <w:t>esamtjahr passen wir daher auf ein mittleres einstelliges Plus an.“ Bisher hatte die MTU eine Zunahme im mittleren bis hohen einstelligen Prozentbereich erwartet.</w:t>
      </w:r>
    </w:p>
    <w:p w:rsidR="00DD5E3F" w:rsidRPr="00564226" w:rsidRDefault="00DD5E3F" w:rsidP="00DD5E3F">
      <w:pPr>
        <w:spacing w:line="300" w:lineRule="exact"/>
        <w:ind w:right="283"/>
        <w:jc w:val="both"/>
        <w:rPr>
          <w:rFonts w:ascii="CorpoS" w:hAnsi="CorpoS"/>
          <w:sz w:val="22"/>
          <w:szCs w:val="22"/>
          <w:lang w:val="de-DE"/>
        </w:rPr>
      </w:pPr>
    </w:p>
    <w:p w:rsidR="008064CE" w:rsidRDefault="00DD5E3F" w:rsidP="00564226">
      <w:pPr>
        <w:spacing w:line="300" w:lineRule="exact"/>
        <w:ind w:right="284"/>
        <w:jc w:val="both"/>
        <w:rPr>
          <w:rFonts w:ascii="CorpoS" w:hAnsi="CorpoS"/>
          <w:sz w:val="22"/>
          <w:szCs w:val="22"/>
          <w:lang w:val="de-DE"/>
        </w:rPr>
      </w:pPr>
      <w:r w:rsidRPr="00564226">
        <w:rPr>
          <w:rFonts w:ascii="CorpoS" w:hAnsi="CorpoS"/>
          <w:sz w:val="22"/>
          <w:szCs w:val="22"/>
          <w:lang w:val="de-DE"/>
        </w:rPr>
        <w:t>I</w:t>
      </w:r>
      <w:r w:rsidR="004803BB" w:rsidRPr="00564226">
        <w:rPr>
          <w:rFonts w:ascii="CorpoS" w:hAnsi="CorpoS"/>
          <w:sz w:val="22"/>
          <w:szCs w:val="22"/>
          <w:lang w:val="de-DE"/>
        </w:rPr>
        <w:t xml:space="preserve">m </w:t>
      </w:r>
      <w:r w:rsidR="00D2784C" w:rsidRPr="00564226">
        <w:rPr>
          <w:rFonts w:ascii="CorpoS" w:hAnsi="CorpoS"/>
          <w:sz w:val="22"/>
          <w:szCs w:val="22"/>
          <w:lang w:val="de-DE"/>
        </w:rPr>
        <w:t>zivile</w:t>
      </w:r>
      <w:r w:rsidR="004803BB" w:rsidRPr="00564226">
        <w:rPr>
          <w:rFonts w:ascii="CorpoS" w:hAnsi="CorpoS"/>
          <w:sz w:val="22"/>
          <w:szCs w:val="22"/>
          <w:lang w:val="de-DE"/>
        </w:rPr>
        <w:t>n</w:t>
      </w:r>
      <w:r w:rsidR="00D2784C" w:rsidRPr="00564226">
        <w:rPr>
          <w:rFonts w:ascii="CorpoS" w:hAnsi="CorpoS"/>
          <w:sz w:val="22"/>
          <w:szCs w:val="22"/>
          <w:lang w:val="de-DE"/>
        </w:rPr>
        <w:t xml:space="preserve"> Triebwerksgeschäft </w:t>
      </w:r>
      <w:r w:rsidRPr="00564226">
        <w:rPr>
          <w:rFonts w:ascii="CorpoS" w:hAnsi="CorpoS"/>
          <w:sz w:val="22"/>
          <w:szCs w:val="22"/>
          <w:lang w:val="de-DE"/>
        </w:rPr>
        <w:t xml:space="preserve">ist der Umsatz </w:t>
      </w:r>
      <w:r w:rsidR="009D1E9E" w:rsidRPr="00564226">
        <w:rPr>
          <w:rFonts w:ascii="CorpoS" w:hAnsi="CorpoS"/>
          <w:sz w:val="22"/>
          <w:szCs w:val="22"/>
          <w:lang w:val="de-DE"/>
        </w:rPr>
        <w:t xml:space="preserve">auf Neun-Monats-Sicht </w:t>
      </w:r>
      <w:r w:rsidRPr="00564226">
        <w:rPr>
          <w:rFonts w:ascii="CorpoS" w:hAnsi="CorpoS"/>
          <w:sz w:val="22"/>
          <w:szCs w:val="22"/>
          <w:lang w:val="de-DE"/>
        </w:rPr>
        <w:t>um 10 % von 850 Mio. €auf 765 Mio. € zurückgegangen.</w:t>
      </w:r>
      <w:r w:rsidR="009D1E9E" w:rsidRPr="00564226">
        <w:rPr>
          <w:rFonts w:ascii="CorpoS" w:hAnsi="CorpoS"/>
          <w:sz w:val="22"/>
          <w:szCs w:val="22"/>
          <w:lang w:val="de-DE"/>
        </w:rPr>
        <w:t xml:space="preserve"> </w:t>
      </w:r>
      <w:r w:rsidR="00564226" w:rsidRPr="00564226">
        <w:rPr>
          <w:rFonts w:ascii="CorpoS" w:hAnsi="CorpoS"/>
          <w:sz w:val="22"/>
          <w:szCs w:val="22"/>
          <w:lang w:val="de-DE"/>
        </w:rPr>
        <w:t>„</w:t>
      </w:r>
      <w:r w:rsidR="009D1E9E" w:rsidRPr="00564226">
        <w:rPr>
          <w:rFonts w:ascii="CorpoS" w:hAnsi="CorpoS"/>
          <w:sz w:val="22"/>
          <w:szCs w:val="22"/>
          <w:lang w:val="de-DE"/>
        </w:rPr>
        <w:t xml:space="preserve">Dabei lag das Umsatzminus im zivilen Seriengeschäft organisch im niedrigen Zehner-Prozentbereich, im </w:t>
      </w:r>
      <w:r w:rsidR="009D1E9E" w:rsidRPr="008E4130">
        <w:rPr>
          <w:rFonts w:ascii="CorpoS" w:hAnsi="CorpoS"/>
          <w:sz w:val="22"/>
          <w:szCs w:val="22"/>
          <w:lang w:val="de-DE"/>
        </w:rPr>
        <w:t>Ersatzteilgeschäft im niedrigen einstelligen Prozentbereich</w:t>
      </w:r>
      <w:r w:rsidR="009D1E9E" w:rsidRPr="00564226">
        <w:rPr>
          <w:rFonts w:ascii="CorpoS" w:hAnsi="CorpoS"/>
          <w:sz w:val="22"/>
          <w:szCs w:val="22"/>
          <w:lang w:val="de-DE"/>
        </w:rPr>
        <w:t xml:space="preserve">“, </w:t>
      </w:r>
      <w:r w:rsidR="001A4478" w:rsidRPr="00564226">
        <w:rPr>
          <w:rFonts w:ascii="CorpoS" w:hAnsi="CorpoS"/>
          <w:sz w:val="22"/>
          <w:szCs w:val="22"/>
          <w:lang w:val="de-DE"/>
        </w:rPr>
        <w:t>führte</w:t>
      </w:r>
      <w:r w:rsidR="009D1E9E" w:rsidRPr="00564226">
        <w:rPr>
          <w:rFonts w:ascii="CorpoS" w:hAnsi="CorpoS"/>
          <w:sz w:val="22"/>
          <w:szCs w:val="22"/>
          <w:lang w:val="de-DE"/>
        </w:rPr>
        <w:t xml:space="preserve"> Winkler</w:t>
      </w:r>
      <w:r w:rsidR="001A4478" w:rsidRPr="00564226">
        <w:rPr>
          <w:rFonts w:ascii="CorpoS" w:hAnsi="CorpoS"/>
          <w:sz w:val="22"/>
          <w:szCs w:val="22"/>
          <w:lang w:val="de-DE"/>
        </w:rPr>
        <w:t xml:space="preserve"> aus</w:t>
      </w:r>
      <w:r w:rsidR="00C853E9">
        <w:rPr>
          <w:rFonts w:ascii="CorpoS" w:hAnsi="CorpoS"/>
          <w:sz w:val="22"/>
          <w:szCs w:val="22"/>
          <w:lang w:val="de-DE"/>
        </w:rPr>
        <w:t xml:space="preserve">. </w:t>
      </w:r>
      <w:r w:rsidR="009D1E9E" w:rsidRPr="00564226">
        <w:rPr>
          <w:rFonts w:ascii="CorpoS" w:hAnsi="CorpoS"/>
          <w:sz w:val="22"/>
          <w:szCs w:val="22"/>
          <w:lang w:val="de-DE"/>
        </w:rPr>
        <w:t xml:space="preserve">Die Quartalsbetrachtung zeigt in beiden Bereichen eine organische Verbesserung – im Seriengeschäft um etwa 20 </w:t>
      </w:r>
      <w:r w:rsidR="00FF7184">
        <w:rPr>
          <w:rFonts w:ascii="CorpoS" w:hAnsi="CorpoS"/>
          <w:sz w:val="22"/>
          <w:szCs w:val="22"/>
          <w:lang w:val="de-DE"/>
        </w:rPr>
        <w:t>%</w:t>
      </w:r>
      <w:r w:rsidR="009D1E9E" w:rsidRPr="00564226">
        <w:rPr>
          <w:rFonts w:ascii="CorpoS" w:hAnsi="CorpoS"/>
          <w:sz w:val="22"/>
          <w:szCs w:val="22"/>
          <w:lang w:val="de-DE"/>
        </w:rPr>
        <w:t xml:space="preserve">, im Ersatzteilbereich im niedrigen Zehner-Prozentbereich. Der A320neo-Antrieb PW1100G-JM war der Hauptumsatzträger im zivilen Triebwerksgeschäft. </w:t>
      </w:r>
      <w:r w:rsidR="00564226" w:rsidRPr="00564226">
        <w:rPr>
          <w:rFonts w:ascii="CorpoS" w:hAnsi="CorpoS"/>
          <w:sz w:val="22"/>
          <w:szCs w:val="22"/>
          <w:lang w:val="de-DE"/>
        </w:rPr>
        <w:t>Die Annah</w:t>
      </w:r>
      <w:r w:rsidR="00564226" w:rsidRPr="00694F51">
        <w:rPr>
          <w:rFonts w:ascii="CorpoS" w:hAnsi="CorpoS"/>
          <w:sz w:val="22"/>
          <w:szCs w:val="22"/>
          <w:lang w:val="de-DE"/>
        </w:rPr>
        <w:t xml:space="preserve">men für das Gesamtjahr bleiben sowohl </w:t>
      </w:r>
      <w:r w:rsidR="00564226">
        <w:rPr>
          <w:rFonts w:ascii="CorpoS" w:hAnsi="CorpoS"/>
          <w:sz w:val="22"/>
          <w:szCs w:val="22"/>
          <w:lang w:val="de-DE"/>
        </w:rPr>
        <w:t>für das</w:t>
      </w:r>
      <w:r w:rsidR="00564226" w:rsidRPr="00694F51">
        <w:rPr>
          <w:rFonts w:ascii="CorpoS" w:hAnsi="CorpoS"/>
          <w:sz w:val="22"/>
          <w:szCs w:val="22"/>
          <w:lang w:val="de-DE"/>
        </w:rPr>
        <w:t xml:space="preserve"> zivile Seriengeschäft als auch </w:t>
      </w:r>
      <w:r w:rsidR="00564226">
        <w:rPr>
          <w:rFonts w:ascii="CorpoS" w:hAnsi="CorpoS"/>
          <w:sz w:val="22"/>
          <w:szCs w:val="22"/>
          <w:lang w:val="de-DE"/>
        </w:rPr>
        <w:t>das</w:t>
      </w:r>
      <w:r w:rsidR="00564226" w:rsidRPr="00694F51">
        <w:rPr>
          <w:rFonts w:ascii="CorpoS" w:hAnsi="CorpoS"/>
          <w:sz w:val="22"/>
          <w:szCs w:val="22"/>
          <w:lang w:val="de-DE"/>
        </w:rPr>
        <w:t xml:space="preserve"> Ersatzteilgeschäft unverändert: Beide Bereiche dürften 2021 organisch im niedrigen bis mittleren einstelligen Prozentbereich zunehmen.</w:t>
      </w:r>
    </w:p>
    <w:p w:rsidR="00564226" w:rsidRPr="00475107" w:rsidRDefault="00564226" w:rsidP="00564226">
      <w:pPr>
        <w:spacing w:line="300" w:lineRule="exact"/>
        <w:ind w:right="284"/>
        <w:jc w:val="both"/>
        <w:rPr>
          <w:rFonts w:ascii="CorpoS" w:hAnsi="CorpoS"/>
          <w:sz w:val="22"/>
          <w:szCs w:val="22"/>
          <w:lang w:val="de-DE"/>
        </w:rPr>
      </w:pPr>
    </w:p>
    <w:p w:rsidR="00C51A14" w:rsidRPr="00475107" w:rsidRDefault="00191C2E" w:rsidP="00C51A14">
      <w:pPr>
        <w:tabs>
          <w:tab w:val="left" w:pos="7655"/>
          <w:tab w:val="left" w:pos="9072"/>
        </w:tabs>
        <w:spacing w:line="300" w:lineRule="exact"/>
        <w:ind w:right="283"/>
        <w:jc w:val="both"/>
        <w:rPr>
          <w:rFonts w:ascii="CorpoS" w:hAnsi="CorpoS"/>
          <w:sz w:val="22"/>
          <w:szCs w:val="22"/>
          <w:lang w:val="de-DE"/>
        </w:rPr>
      </w:pPr>
      <w:r w:rsidRPr="00475107">
        <w:rPr>
          <w:rFonts w:ascii="CorpoS" w:hAnsi="CorpoS"/>
          <w:sz w:val="22"/>
          <w:szCs w:val="22"/>
          <w:lang w:val="de-DE"/>
        </w:rPr>
        <w:t xml:space="preserve">Der Auftragsbestand </w:t>
      </w:r>
      <w:r w:rsidR="003A4B83" w:rsidRPr="00475107">
        <w:rPr>
          <w:rFonts w:ascii="CorpoS" w:hAnsi="CorpoS"/>
          <w:sz w:val="22"/>
          <w:szCs w:val="22"/>
          <w:lang w:val="de-DE"/>
        </w:rPr>
        <w:t>lag</w:t>
      </w:r>
      <w:r w:rsidR="00F52D93" w:rsidRPr="00475107">
        <w:rPr>
          <w:rFonts w:ascii="CorpoS" w:hAnsi="CorpoS"/>
          <w:sz w:val="22"/>
          <w:szCs w:val="22"/>
          <w:lang w:val="de-DE"/>
        </w:rPr>
        <w:t xml:space="preserve"> am Quartalsende </w:t>
      </w:r>
      <w:r w:rsidR="003A4B83" w:rsidRPr="00475107">
        <w:rPr>
          <w:rFonts w:ascii="CorpoS" w:hAnsi="CorpoS"/>
          <w:sz w:val="22"/>
          <w:szCs w:val="22"/>
          <w:lang w:val="de-DE"/>
        </w:rPr>
        <w:t xml:space="preserve">bei </w:t>
      </w:r>
      <w:r w:rsidR="009D1E9E" w:rsidRPr="00475107">
        <w:rPr>
          <w:rFonts w:ascii="CorpoS" w:hAnsi="CorpoS"/>
          <w:sz w:val="22"/>
          <w:szCs w:val="22"/>
          <w:lang w:val="de-DE"/>
        </w:rPr>
        <w:t xml:space="preserve">20,7 </w:t>
      </w:r>
      <w:r w:rsidR="00421E42">
        <w:rPr>
          <w:rFonts w:ascii="CorpoS" w:hAnsi="CorpoS"/>
          <w:sz w:val="22"/>
          <w:szCs w:val="22"/>
          <w:lang w:val="de-DE"/>
        </w:rPr>
        <w:t xml:space="preserve">Mrd. </w:t>
      </w:r>
      <w:r w:rsidR="006E26F8" w:rsidRPr="00475107">
        <w:rPr>
          <w:rFonts w:ascii="CorpoS" w:hAnsi="CorpoS"/>
          <w:sz w:val="22"/>
          <w:szCs w:val="22"/>
          <w:lang w:val="de-DE"/>
        </w:rPr>
        <w:t>€ (31.12.20</w:t>
      </w:r>
      <w:r w:rsidR="009D1E9E" w:rsidRPr="00475107">
        <w:rPr>
          <w:rFonts w:ascii="CorpoS" w:hAnsi="CorpoS"/>
          <w:sz w:val="22"/>
          <w:szCs w:val="22"/>
          <w:lang w:val="de-DE"/>
        </w:rPr>
        <w:t>20</w:t>
      </w:r>
      <w:r w:rsidR="006E26F8" w:rsidRPr="00475107">
        <w:rPr>
          <w:rFonts w:ascii="CorpoS" w:hAnsi="CorpoS"/>
          <w:sz w:val="22"/>
          <w:szCs w:val="22"/>
          <w:lang w:val="de-DE"/>
        </w:rPr>
        <w:t xml:space="preserve">: </w:t>
      </w:r>
      <w:r w:rsidR="009D1E9E" w:rsidRPr="00475107">
        <w:rPr>
          <w:rFonts w:ascii="CorpoS" w:hAnsi="CorpoS"/>
          <w:sz w:val="22"/>
          <w:szCs w:val="22"/>
          <w:lang w:val="de-DE"/>
        </w:rPr>
        <w:t>18,6</w:t>
      </w:r>
      <w:r w:rsidR="006E26F8" w:rsidRPr="00475107">
        <w:rPr>
          <w:rFonts w:ascii="CorpoS" w:hAnsi="CorpoS"/>
          <w:sz w:val="22"/>
          <w:szCs w:val="22"/>
          <w:lang w:val="de-DE"/>
        </w:rPr>
        <w:t xml:space="preserve"> Mrd. €). </w:t>
      </w:r>
      <w:r w:rsidR="003A4B83" w:rsidRPr="00475107">
        <w:rPr>
          <w:rFonts w:ascii="CorpoS" w:hAnsi="CorpoS"/>
          <w:sz w:val="22"/>
          <w:szCs w:val="22"/>
          <w:lang w:val="de-DE"/>
        </w:rPr>
        <w:t xml:space="preserve">Die meisten </w:t>
      </w:r>
      <w:r w:rsidRPr="00475107">
        <w:rPr>
          <w:rFonts w:ascii="CorpoS" w:hAnsi="CorpoS"/>
          <w:sz w:val="22"/>
          <w:szCs w:val="22"/>
          <w:lang w:val="de-DE"/>
        </w:rPr>
        <w:t>Aufträge</w:t>
      </w:r>
      <w:r w:rsidR="003A4B83" w:rsidRPr="00475107">
        <w:rPr>
          <w:rFonts w:ascii="CorpoS" w:hAnsi="CorpoS"/>
          <w:sz w:val="22"/>
          <w:szCs w:val="22"/>
          <w:lang w:val="de-DE"/>
        </w:rPr>
        <w:t xml:space="preserve"> </w:t>
      </w:r>
      <w:r w:rsidR="001E178D" w:rsidRPr="00475107">
        <w:rPr>
          <w:rFonts w:ascii="CorpoS" w:hAnsi="CorpoS"/>
          <w:sz w:val="22"/>
          <w:szCs w:val="22"/>
          <w:lang w:val="de-DE"/>
        </w:rPr>
        <w:t>entfallen auf</w:t>
      </w:r>
      <w:r w:rsidR="003A4B83" w:rsidRPr="00475107">
        <w:rPr>
          <w:rFonts w:ascii="CorpoS" w:hAnsi="CorpoS"/>
          <w:sz w:val="22"/>
          <w:szCs w:val="22"/>
          <w:lang w:val="de-DE"/>
        </w:rPr>
        <w:t xml:space="preserve"> </w:t>
      </w:r>
      <w:r w:rsidRPr="00475107">
        <w:rPr>
          <w:rFonts w:ascii="CorpoS" w:hAnsi="CorpoS"/>
          <w:sz w:val="22"/>
          <w:szCs w:val="22"/>
          <w:lang w:val="de-DE"/>
        </w:rPr>
        <w:t xml:space="preserve">das </w:t>
      </w:r>
      <w:r w:rsidR="00C51A14" w:rsidRPr="00475107">
        <w:rPr>
          <w:rFonts w:ascii="CorpoS" w:hAnsi="CorpoS"/>
          <w:sz w:val="22"/>
          <w:szCs w:val="22"/>
          <w:lang w:val="de-DE"/>
        </w:rPr>
        <w:t>V2500 und die Getriebefan</w:t>
      </w:r>
      <w:r w:rsidR="00CF0603" w:rsidRPr="00475107">
        <w:rPr>
          <w:rFonts w:ascii="CorpoS" w:hAnsi="CorpoS"/>
          <w:sz w:val="22"/>
          <w:szCs w:val="22"/>
          <w:lang w:val="de-DE"/>
        </w:rPr>
        <w:t>-Triebwerke der PW1000G-Familie</w:t>
      </w:r>
      <w:r w:rsidR="000A22E2" w:rsidRPr="00475107">
        <w:rPr>
          <w:rFonts w:ascii="CorpoS" w:hAnsi="CorpoS"/>
          <w:sz w:val="22"/>
          <w:szCs w:val="22"/>
          <w:lang w:val="de-DE"/>
        </w:rPr>
        <w:t>,</w:t>
      </w:r>
      <w:r w:rsidR="00C51A14" w:rsidRPr="00475107">
        <w:rPr>
          <w:rFonts w:ascii="CorpoS" w:hAnsi="CorpoS"/>
          <w:sz w:val="22"/>
          <w:szCs w:val="22"/>
          <w:lang w:val="de-DE"/>
        </w:rPr>
        <w:t xml:space="preserve"> </w:t>
      </w:r>
      <w:r w:rsidR="003E612B" w:rsidRPr="00475107">
        <w:rPr>
          <w:rFonts w:ascii="CorpoS" w:hAnsi="CorpoS"/>
          <w:sz w:val="22"/>
          <w:szCs w:val="22"/>
          <w:lang w:val="de-DE"/>
        </w:rPr>
        <w:t>insbesondere</w:t>
      </w:r>
      <w:r w:rsidRPr="00475107">
        <w:rPr>
          <w:rFonts w:ascii="CorpoS" w:hAnsi="CorpoS"/>
          <w:sz w:val="22"/>
          <w:szCs w:val="22"/>
          <w:lang w:val="de-DE"/>
        </w:rPr>
        <w:t xml:space="preserve"> das PW1100G-JM.</w:t>
      </w:r>
    </w:p>
    <w:p w:rsidR="00C51A14" w:rsidRPr="00475107"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B1640E" w:rsidRDefault="00314028" w:rsidP="00C51A14">
      <w:pPr>
        <w:tabs>
          <w:tab w:val="left" w:pos="7655"/>
          <w:tab w:val="left" w:pos="9072"/>
        </w:tabs>
        <w:spacing w:line="300" w:lineRule="exact"/>
        <w:ind w:right="283"/>
        <w:jc w:val="both"/>
        <w:rPr>
          <w:rFonts w:ascii="CorpoS" w:hAnsi="CorpoS"/>
          <w:sz w:val="22"/>
          <w:szCs w:val="22"/>
          <w:lang w:val="de-DE"/>
        </w:rPr>
      </w:pPr>
      <w:r w:rsidRPr="009621AC">
        <w:rPr>
          <w:rFonts w:ascii="CorpoS" w:hAnsi="CorpoS"/>
          <w:sz w:val="22"/>
          <w:szCs w:val="22"/>
          <w:lang w:val="de-DE"/>
        </w:rPr>
        <w:t xml:space="preserve">Die MTU verzeichnete in den ersten neun Monaten </w:t>
      </w:r>
      <w:r w:rsidR="009621AC" w:rsidRPr="009621AC">
        <w:rPr>
          <w:rFonts w:ascii="CorpoS" w:hAnsi="CorpoS"/>
          <w:sz w:val="22"/>
          <w:szCs w:val="22"/>
          <w:lang w:val="de-DE"/>
        </w:rPr>
        <w:t>ein Ergebnisplus im OEM-Geschäft und ein Ergebnisminus im MRO-</w:t>
      </w:r>
      <w:r w:rsidR="00727F2B">
        <w:rPr>
          <w:rFonts w:ascii="CorpoS" w:hAnsi="CorpoS"/>
          <w:sz w:val="22"/>
          <w:szCs w:val="22"/>
          <w:lang w:val="de-DE"/>
        </w:rPr>
        <w:t>Segment</w:t>
      </w:r>
      <w:r w:rsidRPr="009621AC">
        <w:rPr>
          <w:rFonts w:ascii="CorpoS" w:hAnsi="CorpoS"/>
          <w:sz w:val="22"/>
          <w:szCs w:val="22"/>
          <w:lang w:val="de-DE"/>
        </w:rPr>
        <w:t xml:space="preserve">: Das operative Ergebnis des OEM-Geschäfts </w:t>
      </w:r>
      <w:r w:rsidR="009621AC" w:rsidRPr="009621AC">
        <w:rPr>
          <w:rFonts w:ascii="CorpoS" w:hAnsi="CorpoS"/>
          <w:sz w:val="22"/>
          <w:szCs w:val="22"/>
          <w:lang w:val="de-DE"/>
        </w:rPr>
        <w:t xml:space="preserve">nahm von </w:t>
      </w:r>
      <w:r w:rsidR="00727F2B">
        <w:rPr>
          <w:rFonts w:ascii="CorpoS" w:hAnsi="CorpoS"/>
          <w:sz w:val="22"/>
          <w:szCs w:val="22"/>
          <w:lang w:val="de-DE"/>
        </w:rPr>
        <w:t>1</w:t>
      </w:r>
      <w:r w:rsidR="009621AC" w:rsidRPr="009621AC">
        <w:rPr>
          <w:rFonts w:ascii="CorpoS" w:hAnsi="CorpoS"/>
          <w:sz w:val="22"/>
          <w:szCs w:val="22"/>
          <w:lang w:val="de-DE"/>
        </w:rPr>
        <w:t>94 Mio. €</w:t>
      </w:r>
      <w:r w:rsidR="008314C6">
        <w:rPr>
          <w:rFonts w:ascii="CorpoS" w:hAnsi="CorpoS"/>
          <w:sz w:val="22"/>
          <w:szCs w:val="22"/>
          <w:lang w:val="de-DE"/>
        </w:rPr>
        <w:t xml:space="preserve"> </w:t>
      </w:r>
      <w:r w:rsidR="009621AC" w:rsidRPr="009621AC">
        <w:rPr>
          <w:rFonts w:ascii="CorpoS" w:hAnsi="CorpoS"/>
          <w:sz w:val="22"/>
          <w:szCs w:val="22"/>
          <w:lang w:val="de-DE"/>
        </w:rPr>
        <w:t xml:space="preserve">auf 202 Mio. € zu. </w:t>
      </w:r>
      <w:r w:rsidR="00E16208" w:rsidRPr="009621AC">
        <w:rPr>
          <w:rFonts w:ascii="CorpoS" w:hAnsi="CorpoS"/>
          <w:sz w:val="22"/>
          <w:szCs w:val="22"/>
          <w:lang w:val="de-DE"/>
        </w:rPr>
        <w:t xml:space="preserve">Die </w:t>
      </w:r>
      <w:r w:rsidRPr="009621AC">
        <w:rPr>
          <w:rFonts w:ascii="CorpoS" w:hAnsi="CorpoS"/>
          <w:sz w:val="22"/>
          <w:szCs w:val="22"/>
          <w:lang w:val="de-DE"/>
        </w:rPr>
        <w:t xml:space="preserve">bereinigte </w:t>
      </w:r>
      <w:r w:rsidR="00E16208" w:rsidRPr="009621AC">
        <w:rPr>
          <w:rFonts w:ascii="CorpoS" w:hAnsi="CorpoS"/>
          <w:sz w:val="22"/>
          <w:szCs w:val="22"/>
          <w:lang w:val="de-DE"/>
        </w:rPr>
        <w:t xml:space="preserve">EBIT-Marge </w:t>
      </w:r>
      <w:r w:rsidR="009621AC" w:rsidRPr="009621AC">
        <w:rPr>
          <w:rFonts w:ascii="CorpoS" w:hAnsi="CorpoS"/>
          <w:sz w:val="22"/>
          <w:szCs w:val="22"/>
          <w:lang w:val="de-DE"/>
        </w:rPr>
        <w:t>erreichte</w:t>
      </w:r>
      <w:r w:rsidRPr="009621AC">
        <w:rPr>
          <w:rFonts w:ascii="CorpoS" w:hAnsi="CorpoS"/>
          <w:sz w:val="22"/>
          <w:szCs w:val="22"/>
          <w:lang w:val="de-DE"/>
        </w:rPr>
        <w:t xml:space="preserve"> </w:t>
      </w:r>
      <w:r w:rsidR="009621AC" w:rsidRPr="009621AC">
        <w:rPr>
          <w:rFonts w:ascii="CorpoS" w:hAnsi="CorpoS"/>
          <w:sz w:val="22"/>
          <w:szCs w:val="22"/>
          <w:lang w:val="de-DE"/>
        </w:rPr>
        <w:t xml:space="preserve">18,8 % nach </w:t>
      </w:r>
      <w:r w:rsidRPr="009621AC">
        <w:rPr>
          <w:rFonts w:ascii="CorpoS" w:hAnsi="CorpoS"/>
          <w:sz w:val="22"/>
          <w:szCs w:val="22"/>
          <w:lang w:val="de-DE"/>
        </w:rPr>
        <w:t xml:space="preserve">16,9 % </w:t>
      </w:r>
      <w:r w:rsidR="009621AC" w:rsidRPr="009621AC">
        <w:rPr>
          <w:rFonts w:ascii="CorpoS" w:hAnsi="CorpoS"/>
          <w:sz w:val="22"/>
          <w:szCs w:val="22"/>
          <w:lang w:val="de-DE"/>
        </w:rPr>
        <w:t>i</w:t>
      </w:r>
      <w:r w:rsidRPr="009621AC">
        <w:rPr>
          <w:rFonts w:ascii="CorpoS" w:hAnsi="CorpoS"/>
          <w:sz w:val="22"/>
          <w:szCs w:val="22"/>
          <w:lang w:val="de-DE"/>
        </w:rPr>
        <w:t xml:space="preserve">m Vergleichszeitraum. </w:t>
      </w:r>
      <w:r w:rsidR="00B95116" w:rsidRPr="009621AC">
        <w:rPr>
          <w:rFonts w:ascii="CorpoS" w:hAnsi="CorpoS"/>
          <w:sz w:val="22"/>
          <w:szCs w:val="22"/>
          <w:lang w:val="de-DE"/>
        </w:rPr>
        <w:t>In der zivilen Instandhaltung</w:t>
      </w:r>
      <w:r w:rsidR="00373AC6" w:rsidRPr="009621AC">
        <w:rPr>
          <w:rFonts w:ascii="CorpoS" w:hAnsi="CorpoS"/>
          <w:sz w:val="22"/>
          <w:szCs w:val="22"/>
          <w:lang w:val="de-DE"/>
        </w:rPr>
        <w:t xml:space="preserve"> </w:t>
      </w:r>
      <w:r w:rsidR="009621AC" w:rsidRPr="009621AC">
        <w:rPr>
          <w:rFonts w:ascii="CorpoS" w:hAnsi="CorpoS"/>
          <w:sz w:val="22"/>
          <w:szCs w:val="22"/>
          <w:lang w:val="de-DE"/>
        </w:rPr>
        <w:t xml:space="preserve">ist das operative Ergebnis von </w:t>
      </w:r>
      <w:r w:rsidR="00373AC6" w:rsidRPr="009621AC">
        <w:rPr>
          <w:rFonts w:ascii="CorpoS" w:hAnsi="CorpoS"/>
          <w:sz w:val="22"/>
          <w:szCs w:val="22"/>
          <w:lang w:val="de-DE"/>
        </w:rPr>
        <w:t xml:space="preserve">116 Mio. € </w:t>
      </w:r>
      <w:r w:rsidR="009621AC" w:rsidRPr="009621AC">
        <w:rPr>
          <w:rFonts w:ascii="CorpoS" w:hAnsi="CorpoS"/>
          <w:sz w:val="22"/>
          <w:szCs w:val="22"/>
          <w:lang w:val="de-DE"/>
        </w:rPr>
        <w:t xml:space="preserve">auf 105 Mio. € zurückgegangen. Die Ergebnismarge lag bei 5,2 % (1-9/2020: 6,2 </w:t>
      </w:r>
      <w:r w:rsidR="009621AC" w:rsidRPr="00B1640E">
        <w:rPr>
          <w:rFonts w:ascii="CorpoS" w:hAnsi="CorpoS"/>
          <w:sz w:val="22"/>
          <w:szCs w:val="22"/>
          <w:lang w:val="de-DE"/>
        </w:rPr>
        <w:t xml:space="preserve">%). </w:t>
      </w:r>
      <w:r w:rsidR="00373AC6" w:rsidRPr="00B1640E">
        <w:rPr>
          <w:rFonts w:ascii="CorpoS" w:hAnsi="CorpoS"/>
          <w:sz w:val="22"/>
          <w:szCs w:val="22"/>
          <w:lang w:val="de-DE"/>
        </w:rPr>
        <w:t>„</w:t>
      </w:r>
      <w:r w:rsidR="00B1640E" w:rsidRPr="00B1640E">
        <w:rPr>
          <w:rFonts w:ascii="CorpoS" w:hAnsi="CorpoS"/>
          <w:sz w:val="22"/>
          <w:szCs w:val="22"/>
          <w:lang w:val="de-DE"/>
        </w:rPr>
        <w:t xml:space="preserve">Im </w:t>
      </w:r>
      <w:r w:rsidR="006E0629" w:rsidRPr="00B1640E">
        <w:rPr>
          <w:rFonts w:ascii="CorpoS" w:hAnsi="CorpoS"/>
          <w:sz w:val="22"/>
          <w:szCs w:val="22"/>
          <w:lang w:val="de-DE"/>
        </w:rPr>
        <w:t xml:space="preserve">OEM-Geschäft </w:t>
      </w:r>
      <w:r w:rsidR="00B1640E" w:rsidRPr="00B1640E">
        <w:rPr>
          <w:rFonts w:ascii="CorpoS" w:hAnsi="CorpoS"/>
          <w:sz w:val="22"/>
          <w:szCs w:val="22"/>
          <w:lang w:val="de-DE"/>
        </w:rPr>
        <w:t>hatte</w:t>
      </w:r>
      <w:r w:rsidR="00FF5D25">
        <w:rPr>
          <w:rFonts w:ascii="CorpoS" w:hAnsi="CorpoS"/>
          <w:sz w:val="22"/>
          <w:szCs w:val="22"/>
          <w:lang w:val="de-DE"/>
        </w:rPr>
        <w:t>n</w:t>
      </w:r>
      <w:r w:rsidR="00B1640E" w:rsidRPr="00B1640E">
        <w:rPr>
          <w:rFonts w:ascii="CorpoS" w:hAnsi="CorpoS"/>
          <w:sz w:val="22"/>
          <w:szCs w:val="22"/>
          <w:lang w:val="de-DE"/>
        </w:rPr>
        <w:t xml:space="preserve"> der</w:t>
      </w:r>
      <w:r w:rsidR="006E0629" w:rsidRPr="00B1640E">
        <w:rPr>
          <w:rFonts w:ascii="CorpoS" w:hAnsi="CorpoS"/>
          <w:sz w:val="22"/>
          <w:szCs w:val="22"/>
          <w:lang w:val="de-DE"/>
        </w:rPr>
        <w:t xml:space="preserve"> </w:t>
      </w:r>
      <w:r w:rsidR="006E0629" w:rsidRPr="008936CD">
        <w:rPr>
          <w:rFonts w:ascii="CorpoS" w:hAnsi="CorpoS"/>
          <w:sz w:val="22"/>
          <w:szCs w:val="22"/>
          <w:lang w:val="de-DE"/>
        </w:rPr>
        <w:t>Umsatzmix</w:t>
      </w:r>
      <w:r w:rsidR="00FF5D25" w:rsidRPr="008936CD">
        <w:rPr>
          <w:rFonts w:ascii="CorpoS" w:hAnsi="CorpoS"/>
          <w:sz w:val="22"/>
          <w:szCs w:val="22"/>
          <w:lang w:val="de-DE"/>
        </w:rPr>
        <w:t xml:space="preserve"> und unsere Kostensenkungsprogramme</w:t>
      </w:r>
      <w:r w:rsidR="006E0629" w:rsidRPr="00B1640E">
        <w:rPr>
          <w:rFonts w:ascii="CorpoS" w:hAnsi="CorpoS"/>
          <w:sz w:val="22"/>
          <w:szCs w:val="22"/>
          <w:lang w:val="de-DE"/>
        </w:rPr>
        <w:t xml:space="preserve"> </w:t>
      </w:r>
      <w:r w:rsidR="00B1640E" w:rsidRPr="00B1640E">
        <w:rPr>
          <w:rFonts w:ascii="CorpoS" w:hAnsi="CorpoS"/>
          <w:sz w:val="22"/>
          <w:szCs w:val="22"/>
          <w:lang w:val="de-DE"/>
        </w:rPr>
        <w:t xml:space="preserve">einen positiven Einfluss auf das Ergebnis. In der zivilen Instandhaltung wirkte vor </w:t>
      </w:r>
      <w:r w:rsidR="006E0629" w:rsidRPr="00B1640E">
        <w:rPr>
          <w:rFonts w:ascii="CorpoS" w:hAnsi="CorpoS"/>
          <w:sz w:val="22"/>
          <w:szCs w:val="22"/>
          <w:lang w:val="de-DE"/>
        </w:rPr>
        <w:t xml:space="preserve">allem der hohe Getriebefan-Arbeitsanteil </w:t>
      </w:r>
      <w:r w:rsidR="00B1640E" w:rsidRPr="00B1640E">
        <w:rPr>
          <w:rFonts w:ascii="CorpoS" w:hAnsi="CorpoS"/>
          <w:sz w:val="22"/>
          <w:szCs w:val="22"/>
          <w:lang w:val="de-DE"/>
        </w:rPr>
        <w:t>ergebnismindernd</w:t>
      </w:r>
      <w:r w:rsidR="00373AC6" w:rsidRPr="00B1640E">
        <w:rPr>
          <w:rFonts w:ascii="CorpoS" w:hAnsi="CorpoS"/>
          <w:sz w:val="22"/>
          <w:szCs w:val="22"/>
          <w:lang w:val="de-DE"/>
        </w:rPr>
        <w:t>“, s</w:t>
      </w:r>
      <w:r w:rsidR="009677D8" w:rsidRPr="00B1640E">
        <w:rPr>
          <w:rFonts w:ascii="CorpoS" w:hAnsi="CorpoS"/>
          <w:sz w:val="22"/>
          <w:szCs w:val="22"/>
          <w:lang w:val="de-DE"/>
        </w:rPr>
        <w:t xml:space="preserve">o </w:t>
      </w:r>
      <w:proofErr w:type="spellStart"/>
      <w:r w:rsidR="0040017C">
        <w:rPr>
          <w:rFonts w:ascii="CorpoS" w:hAnsi="CorpoS"/>
          <w:sz w:val="22"/>
          <w:szCs w:val="22"/>
          <w:lang w:val="de-DE"/>
        </w:rPr>
        <w:t>Kameritsch</w:t>
      </w:r>
      <w:proofErr w:type="spellEnd"/>
      <w:r w:rsidR="009677D8" w:rsidRPr="00B1640E">
        <w:rPr>
          <w:rFonts w:ascii="CorpoS" w:hAnsi="CorpoS"/>
          <w:sz w:val="22"/>
          <w:szCs w:val="22"/>
          <w:lang w:val="de-DE"/>
        </w:rPr>
        <w:t>.</w:t>
      </w:r>
    </w:p>
    <w:p w:rsidR="00C51A14" w:rsidRPr="00B1640E"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661D67" w:rsidRDefault="00E76A6F" w:rsidP="00C51A14">
      <w:pPr>
        <w:tabs>
          <w:tab w:val="left" w:pos="7655"/>
          <w:tab w:val="left" w:pos="7938"/>
        </w:tabs>
        <w:spacing w:line="300" w:lineRule="exact"/>
        <w:ind w:right="283"/>
        <w:jc w:val="both"/>
        <w:rPr>
          <w:rFonts w:ascii="CorpoS" w:hAnsi="CorpoS"/>
          <w:sz w:val="22"/>
          <w:szCs w:val="22"/>
          <w:lang w:val="de-DE"/>
        </w:rPr>
      </w:pPr>
      <w:r w:rsidRPr="002B3054">
        <w:rPr>
          <w:rFonts w:ascii="CorpoS" w:hAnsi="CorpoS"/>
          <w:sz w:val="22"/>
          <w:szCs w:val="22"/>
          <w:lang w:val="de-DE"/>
        </w:rPr>
        <w:t>In den ersten neun Monaten 20</w:t>
      </w:r>
      <w:r w:rsidR="009B2DF1" w:rsidRPr="002B3054">
        <w:rPr>
          <w:rFonts w:ascii="CorpoS" w:hAnsi="CorpoS"/>
          <w:sz w:val="22"/>
          <w:szCs w:val="22"/>
          <w:lang w:val="de-DE"/>
        </w:rPr>
        <w:t>2</w:t>
      </w:r>
      <w:r w:rsidR="00DD2182" w:rsidRPr="002B3054">
        <w:rPr>
          <w:rFonts w:ascii="CorpoS" w:hAnsi="CorpoS"/>
          <w:sz w:val="22"/>
          <w:szCs w:val="22"/>
          <w:lang w:val="de-DE"/>
        </w:rPr>
        <w:t>1</w:t>
      </w:r>
      <w:r w:rsidRPr="002B3054">
        <w:rPr>
          <w:rFonts w:ascii="CorpoS" w:hAnsi="CorpoS"/>
          <w:sz w:val="22"/>
          <w:szCs w:val="22"/>
          <w:lang w:val="de-DE"/>
        </w:rPr>
        <w:t xml:space="preserve"> sind </w:t>
      </w:r>
      <w:r w:rsidR="00DD2182" w:rsidRPr="002B3054">
        <w:rPr>
          <w:rFonts w:ascii="CorpoS" w:hAnsi="CorpoS"/>
          <w:sz w:val="22"/>
          <w:szCs w:val="22"/>
          <w:lang w:val="de-DE"/>
        </w:rPr>
        <w:t>162</w:t>
      </w:r>
      <w:r w:rsidR="00B95116" w:rsidRPr="002B3054">
        <w:rPr>
          <w:rFonts w:ascii="CorpoS" w:hAnsi="CorpoS"/>
          <w:sz w:val="22"/>
          <w:szCs w:val="22"/>
          <w:lang w:val="de-DE"/>
        </w:rPr>
        <w:t xml:space="preserve"> Mio. € in </w:t>
      </w:r>
      <w:r w:rsidRPr="002B3054">
        <w:rPr>
          <w:rFonts w:ascii="CorpoS" w:hAnsi="CorpoS"/>
          <w:sz w:val="22"/>
          <w:szCs w:val="22"/>
          <w:lang w:val="de-DE"/>
        </w:rPr>
        <w:t>Forschung und Entwicklung geflossen</w:t>
      </w:r>
      <w:r w:rsidR="009B2DF1" w:rsidRPr="002B3054">
        <w:rPr>
          <w:rFonts w:ascii="CorpoS" w:hAnsi="CorpoS"/>
          <w:sz w:val="22"/>
          <w:szCs w:val="22"/>
          <w:lang w:val="de-DE"/>
        </w:rPr>
        <w:t>; im</w:t>
      </w:r>
      <w:r w:rsidR="002B3054" w:rsidRPr="002B3054">
        <w:rPr>
          <w:rFonts w:ascii="CorpoS" w:hAnsi="CorpoS"/>
          <w:sz w:val="22"/>
          <w:szCs w:val="22"/>
          <w:lang w:val="de-DE"/>
        </w:rPr>
        <w:t xml:space="preserve"> </w:t>
      </w:r>
      <w:r w:rsidR="009B2DF1" w:rsidRPr="002B3054">
        <w:rPr>
          <w:rFonts w:ascii="CorpoS" w:hAnsi="CorpoS"/>
          <w:sz w:val="22"/>
          <w:szCs w:val="22"/>
          <w:lang w:val="de-DE"/>
        </w:rPr>
        <w:t>Vergleichszeitraum 20</w:t>
      </w:r>
      <w:r w:rsidR="00DD2182" w:rsidRPr="002B3054">
        <w:rPr>
          <w:rFonts w:ascii="CorpoS" w:hAnsi="CorpoS"/>
          <w:sz w:val="22"/>
          <w:szCs w:val="22"/>
          <w:lang w:val="de-DE"/>
        </w:rPr>
        <w:t>20</w:t>
      </w:r>
      <w:r w:rsidR="009B2DF1" w:rsidRPr="002B3054">
        <w:rPr>
          <w:rFonts w:ascii="CorpoS" w:hAnsi="CorpoS"/>
          <w:sz w:val="22"/>
          <w:szCs w:val="22"/>
          <w:lang w:val="de-DE"/>
        </w:rPr>
        <w:t xml:space="preserve"> waren es 1</w:t>
      </w:r>
      <w:r w:rsidR="00DD2182" w:rsidRPr="002B3054">
        <w:rPr>
          <w:rFonts w:ascii="CorpoS" w:hAnsi="CorpoS"/>
          <w:sz w:val="22"/>
          <w:szCs w:val="22"/>
          <w:lang w:val="de-DE"/>
        </w:rPr>
        <w:t>39</w:t>
      </w:r>
      <w:r w:rsidR="009B2DF1" w:rsidRPr="002B3054">
        <w:rPr>
          <w:rFonts w:ascii="CorpoS" w:hAnsi="CorpoS"/>
          <w:sz w:val="22"/>
          <w:szCs w:val="22"/>
          <w:lang w:val="de-DE"/>
        </w:rPr>
        <w:t xml:space="preserve"> Mio. €</w:t>
      </w:r>
      <w:r w:rsidR="00661D67">
        <w:rPr>
          <w:rFonts w:ascii="CorpoS" w:hAnsi="CorpoS"/>
          <w:sz w:val="22"/>
          <w:szCs w:val="22"/>
          <w:lang w:val="de-DE"/>
        </w:rPr>
        <w:t xml:space="preserve">. Ihre F&amp;E-Tätigkeit fokussiert die MTU auf das Thema emissionsfreies Fliegen, insbesondere die Themenbereiche Wasserstoff und fliegende Brennstoffzelle. </w:t>
      </w:r>
      <w:r w:rsidR="00661D67" w:rsidRPr="00661D67">
        <w:rPr>
          <w:rFonts w:ascii="CorpoS" w:hAnsi="CorpoS"/>
          <w:sz w:val="22"/>
          <w:szCs w:val="22"/>
          <w:lang w:val="de-DE"/>
        </w:rPr>
        <w:t>Neben diesen F&amp;E-Arbeiten und Technologiestudien für künftige Antriebsgenerationen hat sich die MTU im Schwerpunkt mit den Getriebefan-Programmen und ihrer Weiterentwicklung sowie der Digitalisierung im Triebwerksbau beschäftigt.</w:t>
      </w:r>
    </w:p>
    <w:p w:rsidR="00C51A14" w:rsidRPr="00661D67"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DC6A34" w:rsidRDefault="00FA4490" w:rsidP="00C51A14">
      <w:pPr>
        <w:tabs>
          <w:tab w:val="left" w:pos="7655"/>
          <w:tab w:val="left" w:pos="9072"/>
        </w:tabs>
        <w:spacing w:line="300" w:lineRule="exact"/>
        <w:ind w:right="283"/>
        <w:jc w:val="both"/>
        <w:rPr>
          <w:rFonts w:ascii="CorpoS" w:hAnsi="CorpoS"/>
          <w:sz w:val="22"/>
          <w:szCs w:val="22"/>
          <w:lang w:val="de-DE"/>
        </w:rPr>
      </w:pPr>
      <w:r w:rsidRPr="00DC6A34">
        <w:rPr>
          <w:rFonts w:ascii="CorpoS" w:hAnsi="CorpoS"/>
          <w:sz w:val="22"/>
          <w:szCs w:val="22"/>
          <w:lang w:val="de-DE"/>
        </w:rPr>
        <w:t>D</w:t>
      </w:r>
      <w:r w:rsidR="003A74F5" w:rsidRPr="00DC6A34">
        <w:rPr>
          <w:rFonts w:ascii="CorpoS" w:hAnsi="CorpoS"/>
          <w:sz w:val="22"/>
          <w:szCs w:val="22"/>
          <w:lang w:val="de-DE"/>
        </w:rPr>
        <w:t>e</w:t>
      </w:r>
      <w:r w:rsidR="0014255E" w:rsidRPr="00DC6A34">
        <w:rPr>
          <w:rFonts w:ascii="CorpoS" w:hAnsi="CorpoS"/>
          <w:sz w:val="22"/>
          <w:szCs w:val="22"/>
          <w:lang w:val="de-DE"/>
        </w:rPr>
        <w:t>r</w:t>
      </w:r>
      <w:r w:rsidR="003A74F5" w:rsidRPr="00DC6A34">
        <w:rPr>
          <w:rFonts w:ascii="CorpoS" w:hAnsi="CorpoS"/>
          <w:sz w:val="22"/>
          <w:szCs w:val="22"/>
          <w:lang w:val="de-DE"/>
        </w:rPr>
        <w:t xml:space="preserve"> Free Cashflow </w:t>
      </w:r>
      <w:r w:rsidR="0014255E" w:rsidRPr="00DC6A34">
        <w:rPr>
          <w:rFonts w:ascii="CorpoS" w:hAnsi="CorpoS"/>
          <w:sz w:val="22"/>
          <w:szCs w:val="22"/>
          <w:lang w:val="de-DE"/>
        </w:rPr>
        <w:t>der</w:t>
      </w:r>
      <w:r w:rsidR="00B95116" w:rsidRPr="00DC6A34">
        <w:rPr>
          <w:rFonts w:ascii="CorpoS" w:hAnsi="CorpoS"/>
          <w:sz w:val="22"/>
          <w:szCs w:val="22"/>
          <w:lang w:val="de-DE"/>
        </w:rPr>
        <w:t xml:space="preserve"> MTU </w:t>
      </w:r>
      <w:r w:rsidR="00355763" w:rsidRPr="00DC6A34">
        <w:rPr>
          <w:rFonts w:ascii="CorpoS" w:hAnsi="CorpoS"/>
          <w:sz w:val="22"/>
          <w:szCs w:val="22"/>
          <w:lang w:val="de-DE"/>
        </w:rPr>
        <w:t xml:space="preserve">lag Ende September mit 205 Mio. € um 41 % über dem Vergleichswert </w:t>
      </w:r>
      <w:r w:rsidR="00447F58">
        <w:rPr>
          <w:rFonts w:ascii="CorpoS" w:hAnsi="CorpoS"/>
          <w:sz w:val="22"/>
          <w:szCs w:val="22"/>
          <w:lang w:val="de-DE"/>
        </w:rPr>
        <w:br w:type="textWrapping" w:clear="all"/>
      </w:r>
      <w:r w:rsidR="00355763" w:rsidRPr="00DC6A34">
        <w:rPr>
          <w:rFonts w:ascii="CorpoS" w:hAnsi="CorpoS"/>
          <w:sz w:val="22"/>
          <w:szCs w:val="22"/>
          <w:lang w:val="de-DE"/>
        </w:rPr>
        <w:t xml:space="preserve">(1-9/2020: </w:t>
      </w:r>
      <w:r w:rsidR="00A3561D" w:rsidRPr="00DC6A34">
        <w:rPr>
          <w:rFonts w:ascii="CorpoS" w:hAnsi="CorpoS"/>
          <w:sz w:val="22"/>
          <w:szCs w:val="22"/>
          <w:lang w:val="de-DE"/>
        </w:rPr>
        <w:t>145 Mio. €</w:t>
      </w:r>
      <w:r w:rsidR="002534DF" w:rsidRPr="00DC6A34">
        <w:rPr>
          <w:rFonts w:ascii="CorpoS" w:hAnsi="CorpoS"/>
          <w:sz w:val="22"/>
          <w:szCs w:val="22"/>
          <w:lang w:val="de-DE"/>
        </w:rPr>
        <w:t>)</w:t>
      </w:r>
      <w:r w:rsidR="002C58E4" w:rsidRPr="00DC6A34">
        <w:rPr>
          <w:rFonts w:ascii="CorpoS" w:hAnsi="CorpoS"/>
          <w:sz w:val="22"/>
          <w:szCs w:val="22"/>
          <w:lang w:val="de-DE"/>
        </w:rPr>
        <w:t>.</w:t>
      </w:r>
      <w:r w:rsidR="00B95116" w:rsidRPr="00DC6A34">
        <w:rPr>
          <w:rFonts w:ascii="CorpoS" w:hAnsi="CorpoS"/>
          <w:sz w:val="22"/>
          <w:szCs w:val="22"/>
          <w:lang w:val="de-DE"/>
        </w:rPr>
        <w:t xml:space="preserve"> „</w:t>
      </w:r>
      <w:r w:rsidR="00DC6A34" w:rsidRPr="00DC6A34">
        <w:rPr>
          <w:rFonts w:ascii="CorpoS" w:hAnsi="CorpoS"/>
          <w:sz w:val="22"/>
          <w:szCs w:val="22"/>
          <w:lang w:val="de-DE"/>
        </w:rPr>
        <w:t xml:space="preserve">Diese positive Entwicklung bringt eine Erhöhung unserer Prognose für die Cash </w:t>
      </w:r>
      <w:proofErr w:type="spellStart"/>
      <w:r w:rsidR="00DC6A34" w:rsidRPr="00DC6A34">
        <w:rPr>
          <w:rFonts w:ascii="CorpoS" w:hAnsi="CorpoS"/>
          <w:sz w:val="22"/>
          <w:szCs w:val="22"/>
          <w:lang w:val="de-DE"/>
        </w:rPr>
        <w:t>Conversion</w:t>
      </w:r>
      <w:proofErr w:type="spellEnd"/>
      <w:r w:rsidR="00DC6A34" w:rsidRPr="00DC6A34">
        <w:rPr>
          <w:rFonts w:ascii="CorpoS" w:hAnsi="CorpoS"/>
          <w:sz w:val="22"/>
          <w:szCs w:val="22"/>
          <w:lang w:val="de-DE"/>
        </w:rPr>
        <w:t xml:space="preserve"> Rate mit sich“, </w:t>
      </w:r>
      <w:r w:rsidR="00727F2B">
        <w:rPr>
          <w:rFonts w:ascii="CorpoS" w:hAnsi="CorpoS"/>
          <w:sz w:val="22"/>
          <w:szCs w:val="22"/>
          <w:lang w:val="de-DE"/>
        </w:rPr>
        <w:t>sagte</w:t>
      </w:r>
      <w:r w:rsidR="00DC6A34" w:rsidRPr="00DC6A34">
        <w:rPr>
          <w:rFonts w:ascii="CorpoS" w:hAnsi="CorpoS"/>
          <w:sz w:val="22"/>
          <w:szCs w:val="22"/>
          <w:lang w:val="de-DE"/>
        </w:rPr>
        <w:t xml:space="preserve"> </w:t>
      </w:r>
      <w:proofErr w:type="spellStart"/>
      <w:r w:rsidR="00DC6A34" w:rsidRPr="00DC6A34">
        <w:rPr>
          <w:rFonts w:ascii="CorpoS" w:hAnsi="CorpoS"/>
          <w:sz w:val="22"/>
          <w:szCs w:val="22"/>
          <w:lang w:val="de-DE"/>
        </w:rPr>
        <w:t>Kameritsch</w:t>
      </w:r>
      <w:proofErr w:type="spellEnd"/>
      <w:r w:rsidR="00DC6A34" w:rsidRPr="00DC6A34">
        <w:rPr>
          <w:rFonts w:ascii="CorpoS" w:hAnsi="CorpoS"/>
          <w:sz w:val="22"/>
          <w:szCs w:val="22"/>
          <w:lang w:val="de-DE"/>
        </w:rPr>
        <w:t xml:space="preserve">. „Wir rechnen für 2021 jetzt mit einer Cash </w:t>
      </w:r>
      <w:proofErr w:type="spellStart"/>
      <w:r w:rsidR="00DC6A34" w:rsidRPr="00DC6A34">
        <w:rPr>
          <w:rFonts w:ascii="CorpoS" w:hAnsi="CorpoS"/>
          <w:sz w:val="22"/>
          <w:szCs w:val="22"/>
          <w:lang w:val="de-DE"/>
        </w:rPr>
        <w:t>Conversion</w:t>
      </w:r>
      <w:proofErr w:type="spellEnd"/>
      <w:r w:rsidR="00DC6A34" w:rsidRPr="00DC6A34">
        <w:rPr>
          <w:rFonts w:ascii="CorpoS" w:hAnsi="CorpoS"/>
          <w:sz w:val="22"/>
          <w:szCs w:val="22"/>
          <w:lang w:val="de-DE"/>
        </w:rPr>
        <w:t xml:space="preserve"> Rate im hohen zweistelligen Prozentbereich.“ Bisher hatte die MTU einen mittleren bis hohen zweistelligen Prozentbereich als </w:t>
      </w:r>
      <w:r w:rsidR="00727F2B">
        <w:rPr>
          <w:rFonts w:ascii="CorpoS" w:hAnsi="CorpoS"/>
          <w:sz w:val="22"/>
          <w:szCs w:val="22"/>
          <w:lang w:val="de-DE"/>
        </w:rPr>
        <w:t>CCR-</w:t>
      </w:r>
      <w:r w:rsidR="00DC6A34" w:rsidRPr="00DC6A34">
        <w:rPr>
          <w:rFonts w:ascii="CorpoS" w:hAnsi="CorpoS"/>
          <w:sz w:val="22"/>
          <w:szCs w:val="22"/>
          <w:lang w:val="de-DE"/>
        </w:rPr>
        <w:t>Zielspanne ausgegeben.</w:t>
      </w:r>
      <w:r w:rsidR="00355763" w:rsidRPr="00DC6A34">
        <w:rPr>
          <w:rFonts w:ascii="CorpoS" w:hAnsi="CorpoS"/>
          <w:sz w:val="22"/>
          <w:szCs w:val="22"/>
          <w:lang w:val="de-DE"/>
        </w:rPr>
        <w:t xml:space="preserve"> </w:t>
      </w:r>
    </w:p>
    <w:p w:rsidR="00C51A14" w:rsidRPr="00355763" w:rsidRDefault="00B95116" w:rsidP="00C51A14">
      <w:pPr>
        <w:tabs>
          <w:tab w:val="left" w:pos="7655"/>
          <w:tab w:val="left" w:pos="9072"/>
        </w:tabs>
        <w:spacing w:line="300" w:lineRule="exact"/>
        <w:ind w:right="283"/>
        <w:jc w:val="both"/>
        <w:rPr>
          <w:rFonts w:ascii="CorpoS" w:hAnsi="CorpoS"/>
          <w:sz w:val="22"/>
          <w:szCs w:val="22"/>
          <w:lang w:val="de-DE"/>
        </w:rPr>
      </w:pPr>
      <w:r w:rsidRPr="00DC6A34">
        <w:rPr>
          <w:rFonts w:ascii="CorpoS" w:hAnsi="CorpoS"/>
          <w:sz w:val="22"/>
          <w:szCs w:val="22"/>
          <w:lang w:val="de-DE"/>
        </w:rPr>
        <w:lastRenderedPageBreak/>
        <w:t xml:space="preserve">Die Netto-Auszahlungen in </w:t>
      </w:r>
      <w:r w:rsidR="00972A32" w:rsidRPr="00DC6A34">
        <w:rPr>
          <w:rFonts w:ascii="CorpoS" w:hAnsi="CorpoS"/>
          <w:sz w:val="22"/>
          <w:szCs w:val="22"/>
          <w:lang w:val="de-DE"/>
        </w:rPr>
        <w:t xml:space="preserve">Sachanlagen </w:t>
      </w:r>
      <w:r w:rsidRPr="00DC6A34">
        <w:rPr>
          <w:rFonts w:ascii="CorpoS" w:hAnsi="CorpoS"/>
          <w:sz w:val="22"/>
          <w:szCs w:val="22"/>
          <w:lang w:val="de-DE"/>
        </w:rPr>
        <w:t xml:space="preserve">sind in den ersten neun Monaten </w:t>
      </w:r>
      <w:r w:rsidR="00355763" w:rsidRPr="00DC6A34">
        <w:rPr>
          <w:rFonts w:ascii="CorpoS" w:hAnsi="CorpoS"/>
          <w:sz w:val="22"/>
          <w:szCs w:val="22"/>
          <w:lang w:val="de-DE"/>
        </w:rPr>
        <w:t xml:space="preserve">um 25 % auf 117 Mio. € </w:t>
      </w:r>
      <w:r w:rsidR="00355763" w:rsidRPr="00355763">
        <w:rPr>
          <w:rFonts w:ascii="CorpoS" w:hAnsi="CorpoS"/>
          <w:sz w:val="22"/>
          <w:szCs w:val="22"/>
          <w:lang w:val="de-DE"/>
        </w:rPr>
        <w:t>gestiegen (1-9/2020: 93 Mio. €)</w:t>
      </w:r>
      <w:r w:rsidR="0048381E" w:rsidRPr="00355763">
        <w:rPr>
          <w:rFonts w:ascii="CorpoS" w:hAnsi="CorpoS"/>
          <w:sz w:val="22"/>
          <w:szCs w:val="22"/>
          <w:lang w:val="de-DE"/>
        </w:rPr>
        <w:t>.</w:t>
      </w:r>
    </w:p>
    <w:p w:rsidR="00C51A14" w:rsidRPr="00355763"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355763" w:rsidRDefault="00AF1055" w:rsidP="00C51A14">
      <w:pPr>
        <w:tabs>
          <w:tab w:val="left" w:pos="7655"/>
          <w:tab w:val="left" w:pos="9072"/>
        </w:tabs>
        <w:spacing w:line="300" w:lineRule="exact"/>
        <w:ind w:right="283"/>
        <w:jc w:val="both"/>
        <w:rPr>
          <w:rFonts w:ascii="CorpoS" w:hAnsi="CorpoS"/>
          <w:sz w:val="22"/>
          <w:szCs w:val="22"/>
          <w:lang w:val="de-DE"/>
        </w:rPr>
      </w:pPr>
      <w:r w:rsidRPr="00355763">
        <w:rPr>
          <w:rFonts w:ascii="CorpoS" w:eastAsia="SimSun" w:hAnsi="CorpoS"/>
          <w:sz w:val="22"/>
          <w:szCs w:val="22"/>
          <w:lang w:val="de-DE" w:eastAsia="zh-CN"/>
        </w:rPr>
        <w:t>Die MTU hatte am Quartalsende 10.</w:t>
      </w:r>
      <w:r w:rsidR="00355763" w:rsidRPr="00355763">
        <w:rPr>
          <w:rFonts w:ascii="CorpoS" w:eastAsia="SimSun" w:hAnsi="CorpoS"/>
          <w:sz w:val="22"/>
          <w:szCs w:val="22"/>
          <w:lang w:val="de-DE" w:eastAsia="zh-CN"/>
        </w:rPr>
        <w:t xml:space="preserve">298 </w:t>
      </w:r>
      <w:r w:rsidRPr="00355763">
        <w:rPr>
          <w:rFonts w:ascii="CorpoS" w:eastAsia="SimSun" w:hAnsi="CorpoS"/>
          <w:sz w:val="22"/>
          <w:szCs w:val="22"/>
          <w:lang w:val="de-DE" w:eastAsia="zh-CN"/>
        </w:rPr>
        <w:t>Mitarbeiter</w:t>
      </w:r>
      <w:r w:rsidR="00355763" w:rsidRPr="00355763">
        <w:rPr>
          <w:rFonts w:ascii="CorpoS" w:eastAsia="SimSun" w:hAnsi="CorpoS"/>
          <w:sz w:val="22"/>
          <w:szCs w:val="22"/>
          <w:lang w:val="de-DE" w:eastAsia="zh-CN"/>
        </w:rPr>
        <w:t>; zum Jahresende 2020 waren es 10.313 Mitarbeiter.</w:t>
      </w:r>
    </w:p>
    <w:p w:rsidR="00B37A26" w:rsidRDefault="00B37A26"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p>
    <w:p w:rsidR="002A20B0" w:rsidRDefault="002A20B0" w:rsidP="00C51A14">
      <w:pPr>
        <w:tabs>
          <w:tab w:val="left" w:pos="7655"/>
          <w:tab w:val="left" w:pos="9072"/>
        </w:tabs>
        <w:spacing w:line="300" w:lineRule="exact"/>
        <w:ind w:right="283"/>
        <w:jc w:val="both"/>
        <w:rPr>
          <w:rFonts w:ascii="CorpoS" w:hAnsi="CorpoS"/>
          <w:sz w:val="22"/>
          <w:szCs w:val="22"/>
          <w:lang w:val="de-DE"/>
        </w:rPr>
      </w:pPr>
      <w:bookmarkStart w:id="0" w:name="_GoBack"/>
      <w:bookmarkEnd w:id="0"/>
    </w:p>
    <w:p w:rsidR="00766743" w:rsidRPr="0063424C" w:rsidRDefault="0079305F" w:rsidP="00766743">
      <w:pPr>
        <w:tabs>
          <w:tab w:val="left" w:pos="7655"/>
          <w:tab w:val="left" w:pos="9072"/>
        </w:tabs>
        <w:spacing w:line="300" w:lineRule="exact"/>
        <w:ind w:right="283"/>
        <w:jc w:val="both"/>
        <w:rPr>
          <w:rFonts w:ascii="CorpoS" w:hAnsi="CorpoS"/>
          <w:b/>
          <w:sz w:val="22"/>
          <w:szCs w:val="22"/>
          <w:lang w:val="de-DE"/>
        </w:rPr>
      </w:pPr>
      <w:r w:rsidRPr="0063424C">
        <w:rPr>
          <w:rFonts w:ascii="CorpoS" w:hAnsi="CorpoS"/>
          <w:b/>
          <w:sz w:val="22"/>
          <w:szCs w:val="22"/>
          <w:lang w:val="de-DE"/>
        </w:rPr>
        <w:t xml:space="preserve">MTU Aero Engines – Eckdaten </w:t>
      </w:r>
      <w:r w:rsidR="002C2460" w:rsidRPr="0063424C">
        <w:rPr>
          <w:rFonts w:ascii="CorpoS" w:hAnsi="CorpoS"/>
          <w:b/>
          <w:sz w:val="22"/>
          <w:szCs w:val="22"/>
          <w:lang w:val="de-DE"/>
        </w:rPr>
        <w:t>3. Quartal</w:t>
      </w:r>
      <w:r w:rsidR="0030178E">
        <w:rPr>
          <w:rFonts w:ascii="CorpoS" w:hAnsi="CorpoS"/>
          <w:b/>
          <w:sz w:val="22"/>
          <w:szCs w:val="22"/>
          <w:lang w:val="de-DE"/>
        </w:rPr>
        <w:t xml:space="preserve"> 2021</w:t>
      </w:r>
    </w:p>
    <w:p w:rsidR="001F34ED" w:rsidRPr="0063424C" w:rsidRDefault="00766743" w:rsidP="00766743">
      <w:pPr>
        <w:tabs>
          <w:tab w:val="left" w:pos="7938"/>
        </w:tabs>
        <w:autoSpaceDE w:val="0"/>
        <w:autoSpaceDN w:val="0"/>
        <w:adjustRightInd w:val="0"/>
        <w:ind w:right="283"/>
        <w:rPr>
          <w:rFonts w:ascii="CorpoS" w:hAnsi="CorpoS"/>
          <w:i/>
          <w:sz w:val="18"/>
          <w:szCs w:val="18"/>
          <w:lang w:val="de-DE"/>
        </w:rPr>
      </w:pPr>
      <w:r w:rsidRPr="0063424C">
        <w:rPr>
          <w:rFonts w:ascii="CorpoS" w:hAnsi="CorpoS"/>
          <w:i/>
          <w:sz w:val="18"/>
          <w:szCs w:val="18"/>
          <w:lang w:val="de-DE"/>
        </w:rPr>
        <w:t>(Beträge in Mio. €</w:t>
      </w:r>
      <w:r w:rsidR="00701B52" w:rsidRPr="0063424C">
        <w:rPr>
          <w:rFonts w:ascii="CorpoS" w:hAnsi="CorpoS"/>
          <w:i/>
          <w:sz w:val="18"/>
          <w:szCs w:val="18"/>
          <w:lang w:val="de-DE"/>
        </w:rPr>
        <w:t>)</w:t>
      </w:r>
    </w:p>
    <w:p w:rsidR="00BB0EA9" w:rsidRPr="0063424C" w:rsidRDefault="00BB0EA9" w:rsidP="0076674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0E11FC" w:rsidRPr="000E11FC" w:rsidTr="00126044">
        <w:tc>
          <w:tcPr>
            <w:tcW w:w="3969" w:type="dxa"/>
            <w:tcBorders>
              <w:right w:val="single" w:sz="4" w:space="0" w:color="auto"/>
            </w:tcBorders>
            <w:shd w:val="clear" w:color="auto" w:fill="auto"/>
          </w:tcPr>
          <w:p w:rsidR="002C2460" w:rsidRPr="000E11FC" w:rsidRDefault="002C2460" w:rsidP="00126044">
            <w:pPr>
              <w:rPr>
                <w:rFonts w:ascii="CorpoS" w:hAnsi="CorpoS"/>
                <w:b/>
                <w:sz w:val="22"/>
                <w:szCs w:val="22"/>
                <w:lang w:val="de-DE"/>
              </w:rPr>
            </w:pPr>
            <w:r w:rsidRPr="000E11FC">
              <w:rPr>
                <w:rFonts w:ascii="CorpoS" w:hAnsi="CorpoS"/>
                <w:b/>
                <w:sz w:val="22"/>
                <w:szCs w:val="22"/>
                <w:lang w:val="de-DE"/>
              </w:rPr>
              <w:t>MTU Aero Engines</w:t>
            </w:r>
          </w:p>
          <w:p w:rsidR="002C2460" w:rsidRPr="000E11FC" w:rsidRDefault="002C2460" w:rsidP="00126044">
            <w:pPr>
              <w:rPr>
                <w:rFonts w:ascii="CorpoS" w:hAnsi="CorpoS"/>
                <w:b/>
                <w:sz w:val="22"/>
                <w:szCs w:val="22"/>
                <w:lang w:val="de-DE"/>
              </w:rPr>
            </w:pPr>
          </w:p>
        </w:tc>
        <w:tc>
          <w:tcPr>
            <w:tcW w:w="1134" w:type="dxa"/>
            <w:tcBorders>
              <w:left w:val="single" w:sz="4" w:space="0" w:color="auto"/>
              <w:right w:val="single" w:sz="4" w:space="0" w:color="auto"/>
            </w:tcBorders>
          </w:tcPr>
          <w:p w:rsidR="002C2460" w:rsidRPr="000E11FC" w:rsidRDefault="002C2460" w:rsidP="0030178E">
            <w:pPr>
              <w:jc w:val="right"/>
              <w:rPr>
                <w:rFonts w:ascii="CorpoS" w:hAnsi="CorpoS"/>
                <w:b/>
                <w:sz w:val="22"/>
                <w:szCs w:val="22"/>
                <w:lang w:val="de-DE"/>
              </w:rPr>
            </w:pPr>
            <w:r w:rsidRPr="000E11FC">
              <w:rPr>
                <w:rFonts w:ascii="CorpoS" w:hAnsi="CorpoS"/>
                <w:b/>
                <w:sz w:val="22"/>
                <w:szCs w:val="22"/>
                <w:lang w:val="de-DE"/>
              </w:rPr>
              <w:t>Q3 20</w:t>
            </w:r>
            <w:r w:rsidR="0030178E" w:rsidRPr="000E11FC">
              <w:rPr>
                <w:rFonts w:ascii="CorpoS" w:hAnsi="CorpoS"/>
                <w:b/>
                <w:sz w:val="22"/>
                <w:szCs w:val="22"/>
                <w:lang w:val="de-DE"/>
              </w:rPr>
              <w:t>20</w:t>
            </w:r>
          </w:p>
        </w:tc>
        <w:tc>
          <w:tcPr>
            <w:tcW w:w="1134" w:type="dxa"/>
            <w:tcBorders>
              <w:left w:val="single" w:sz="4" w:space="0" w:color="auto"/>
              <w:right w:val="single" w:sz="18" w:space="0" w:color="auto"/>
            </w:tcBorders>
          </w:tcPr>
          <w:p w:rsidR="002C2460" w:rsidRPr="000E11FC" w:rsidRDefault="002C2460" w:rsidP="0030178E">
            <w:pPr>
              <w:jc w:val="right"/>
              <w:rPr>
                <w:rFonts w:ascii="CorpoS" w:hAnsi="CorpoS"/>
                <w:b/>
                <w:sz w:val="22"/>
                <w:szCs w:val="22"/>
                <w:lang w:val="de-DE"/>
              </w:rPr>
            </w:pPr>
            <w:r w:rsidRPr="000E11FC">
              <w:rPr>
                <w:rFonts w:ascii="CorpoS" w:hAnsi="CorpoS"/>
                <w:b/>
                <w:sz w:val="22"/>
                <w:szCs w:val="22"/>
                <w:lang w:val="de-DE"/>
              </w:rPr>
              <w:t>Q3 20</w:t>
            </w:r>
            <w:r w:rsidR="00A56A31" w:rsidRPr="000E11FC">
              <w:rPr>
                <w:rFonts w:ascii="CorpoS" w:hAnsi="CorpoS"/>
                <w:b/>
                <w:sz w:val="22"/>
                <w:szCs w:val="22"/>
                <w:lang w:val="de-DE"/>
              </w:rPr>
              <w:t>2</w:t>
            </w:r>
            <w:r w:rsidR="0030178E" w:rsidRPr="000E11FC">
              <w:rPr>
                <w:rFonts w:ascii="CorpoS" w:hAnsi="CorpoS"/>
                <w:b/>
                <w:sz w:val="22"/>
                <w:szCs w:val="22"/>
                <w:lang w:val="de-DE"/>
              </w:rPr>
              <w:t>1</w:t>
            </w:r>
          </w:p>
        </w:tc>
        <w:tc>
          <w:tcPr>
            <w:tcW w:w="1276" w:type="dxa"/>
            <w:tcBorders>
              <w:top w:val="single" w:sz="18" w:space="0" w:color="auto"/>
              <w:left w:val="single" w:sz="18" w:space="0" w:color="auto"/>
            </w:tcBorders>
            <w:shd w:val="clear" w:color="auto" w:fill="auto"/>
          </w:tcPr>
          <w:p w:rsidR="002C2460" w:rsidRPr="000E11FC" w:rsidRDefault="002C2460" w:rsidP="00126044">
            <w:pPr>
              <w:jc w:val="right"/>
              <w:rPr>
                <w:rFonts w:ascii="CorpoS" w:hAnsi="CorpoS"/>
                <w:b/>
                <w:sz w:val="22"/>
                <w:szCs w:val="22"/>
                <w:lang w:val="de-DE"/>
              </w:rPr>
            </w:pPr>
            <w:r w:rsidRPr="000E11FC">
              <w:rPr>
                <w:rFonts w:ascii="CorpoS" w:hAnsi="CorpoS"/>
                <w:b/>
                <w:sz w:val="22"/>
                <w:szCs w:val="22"/>
                <w:lang w:val="de-DE"/>
              </w:rPr>
              <w:t xml:space="preserve">per </w:t>
            </w:r>
            <w:r w:rsidR="00FC24C7" w:rsidRPr="000E11FC">
              <w:rPr>
                <w:rFonts w:ascii="CorpoS" w:hAnsi="CorpoS"/>
                <w:b/>
                <w:sz w:val="22"/>
                <w:szCs w:val="22"/>
                <w:lang w:val="de-DE"/>
              </w:rPr>
              <w:t>Sept. 20</w:t>
            </w:r>
            <w:r w:rsidR="0030178E" w:rsidRPr="000E11FC">
              <w:rPr>
                <w:rFonts w:ascii="CorpoS" w:hAnsi="CorpoS"/>
                <w:b/>
                <w:sz w:val="22"/>
                <w:szCs w:val="22"/>
                <w:lang w:val="de-DE"/>
              </w:rPr>
              <w:t>20</w:t>
            </w:r>
          </w:p>
          <w:p w:rsidR="002C2460" w:rsidRPr="000E11FC" w:rsidRDefault="002C2460" w:rsidP="00126044">
            <w:pPr>
              <w:jc w:val="right"/>
              <w:rPr>
                <w:rFonts w:ascii="CorpoS" w:hAnsi="CorpoS"/>
                <w:i/>
                <w:sz w:val="16"/>
                <w:szCs w:val="16"/>
                <w:lang w:val="de-DE"/>
              </w:rPr>
            </w:pPr>
          </w:p>
        </w:tc>
        <w:tc>
          <w:tcPr>
            <w:tcW w:w="1276" w:type="dxa"/>
            <w:tcBorders>
              <w:top w:val="single" w:sz="18" w:space="0" w:color="auto"/>
            </w:tcBorders>
            <w:shd w:val="clear" w:color="auto" w:fill="auto"/>
          </w:tcPr>
          <w:p w:rsidR="002C2460" w:rsidRPr="000E11FC" w:rsidRDefault="002C2460" w:rsidP="0030178E">
            <w:pPr>
              <w:jc w:val="right"/>
              <w:rPr>
                <w:rFonts w:ascii="CorpoS" w:hAnsi="CorpoS"/>
                <w:b/>
                <w:sz w:val="22"/>
                <w:szCs w:val="22"/>
                <w:lang w:val="de-DE"/>
              </w:rPr>
            </w:pPr>
            <w:r w:rsidRPr="000E11FC">
              <w:rPr>
                <w:rFonts w:ascii="CorpoS" w:hAnsi="CorpoS"/>
                <w:b/>
                <w:sz w:val="22"/>
                <w:szCs w:val="22"/>
                <w:lang w:val="de-DE"/>
              </w:rPr>
              <w:t>per Sept. 20</w:t>
            </w:r>
            <w:r w:rsidR="00A56A31" w:rsidRPr="000E11FC">
              <w:rPr>
                <w:rFonts w:ascii="CorpoS" w:hAnsi="CorpoS"/>
                <w:b/>
                <w:sz w:val="22"/>
                <w:szCs w:val="22"/>
                <w:lang w:val="de-DE"/>
              </w:rPr>
              <w:t>2</w:t>
            </w:r>
            <w:r w:rsidR="0030178E" w:rsidRPr="000E11FC">
              <w:rPr>
                <w:rFonts w:ascii="CorpoS" w:hAnsi="CorpoS"/>
                <w:b/>
                <w:sz w:val="22"/>
                <w:szCs w:val="22"/>
                <w:lang w:val="de-DE"/>
              </w:rPr>
              <w:t>1</w:t>
            </w:r>
          </w:p>
        </w:tc>
        <w:tc>
          <w:tcPr>
            <w:tcW w:w="1418" w:type="dxa"/>
            <w:tcBorders>
              <w:top w:val="single" w:sz="18" w:space="0" w:color="auto"/>
              <w:right w:val="single" w:sz="18" w:space="0" w:color="auto"/>
            </w:tcBorders>
            <w:shd w:val="clear" w:color="auto" w:fill="auto"/>
          </w:tcPr>
          <w:p w:rsidR="002C2460" w:rsidRPr="000E11FC" w:rsidRDefault="002C2460" w:rsidP="00126044">
            <w:pPr>
              <w:ind w:right="33"/>
              <w:rPr>
                <w:rFonts w:ascii="CorpoS" w:hAnsi="CorpoS"/>
                <w:b/>
                <w:sz w:val="22"/>
                <w:szCs w:val="22"/>
                <w:lang w:val="de-DE"/>
              </w:rPr>
            </w:pPr>
            <w:r w:rsidRPr="000E11FC">
              <w:rPr>
                <w:rFonts w:ascii="CorpoS" w:hAnsi="CorpoS"/>
                <w:b/>
                <w:sz w:val="22"/>
                <w:szCs w:val="22"/>
                <w:lang w:val="de-DE"/>
              </w:rPr>
              <w:t>Veränderung</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lang w:val="de-DE"/>
              </w:rPr>
            </w:pPr>
            <w:r w:rsidRPr="000E11FC">
              <w:rPr>
                <w:rFonts w:ascii="CorpoS" w:hAnsi="CorpoS"/>
                <w:sz w:val="22"/>
                <w:szCs w:val="22"/>
                <w:lang w:val="de-DE"/>
              </w:rPr>
              <w:t>Umsatz</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lang w:val="de-DE" w:eastAsia="zh-CN"/>
              </w:rPr>
            </w:pPr>
            <w:r w:rsidRPr="000E11FC">
              <w:rPr>
                <w:rFonts w:ascii="CorpoS" w:hAnsi="CorpoS" w:cs="Arial"/>
                <w:sz w:val="22"/>
                <w:szCs w:val="22"/>
              </w:rPr>
              <w:t>908</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1.004</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lang w:val="de-DE" w:eastAsia="zh-CN"/>
              </w:rPr>
            </w:pPr>
            <w:r w:rsidRPr="000E11FC">
              <w:rPr>
                <w:rFonts w:ascii="CorpoS" w:hAnsi="CorpoS" w:cs="Arial"/>
                <w:sz w:val="22"/>
                <w:szCs w:val="22"/>
              </w:rPr>
              <w:t>2.957</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3.008</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+ 2</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lang w:val="de-DE"/>
              </w:rPr>
            </w:pPr>
            <w:r w:rsidRPr="000E11FC">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333</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373</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1.146</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1.075</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- 6</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lang w:val="de-DE"/>
              </w:rPr>
              <w:t xml:space="preserve">          davon ziviles </w:t>
            </w:r>
            <w:proofErr w:type="spellStart"/>
            <w:r w:rsidRPr="000E11FC">
              <w:rPr>
                <w:rFonts w:ascii="CorpoS" w:hAnsi="CorpoS"/>
                <w:sz w:val="22"/>
                <w:szCs w:val="22"/>
                <w:lang w:val="de-DE"/>
              </w:rPr>
              <w:t>Triebwerksg</w:t>
            </w:r>
            <w:r w:rsidRPr="000E11FC">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220</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251</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850</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765</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- 10</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rPr>
              <w:t xml:space="preserve">          </w:t>
            </w:r>
            <w:proofErr w:type="spellStart"/>
            <w:r w:rsidRPr="000E11FC">
              <w:rPr>
                <w:rFonts w:ascii="CorpoS" w:hAnsi="CorpoS"/>
                <w:sz w:val="22"/>
                <w:szCs w:val="22"/>
              </w:rPr>
              <w:t>davon</w:t>
            </w:r>
            <w:proofErr w:type="spellEnd"/>
            <w:r w:rsidRPr="000E11FC">
              <w:rPr>
                <w:rFonts w:ascii="CorpoS" w:hAnsi="CorpoS"/>
                <w:sz w:val="22"/>
                <w:szCs w:val="22"/>
              </w:rPr>
              <w:t xml:space="preserve"> </w:t>
            </w:r>
            <w:proofErr w:type="spellStart"/>
            <w:r w:rsidRPr="000E11FC">
              <w:rPr>
                <w:rFonts w:ascii="CorpoS" w:hAnsi="CorpoS"/>
                <w:sz w:val="22"/>
                <w:szCs w:val="22"/>
              </w:rPr>
              <w:t>milit</w:t>
            </w:r>
            <w:proofErr w:type="spellEnd"/>
            <w:r w:rsidRPr="000E11FC">
              <w:rPr>
                <w:rFonts w:ascii="CorpoS" w:hAnsi="CorpoS"/>
                <w:sz w:val="22"/>
                <w:szCs w:val="22"/>
              </w:rPr>
              <w:t xml:space="preserve">. </w:t>
            </w:r>
            <w:proofErr w:type="spellStart"/>
            <w:r w:rsidRPr="000E11FC">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113</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123</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296</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310</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+ 4</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rPr>
              <w:t xml:space="preserve">   </w:t>
            </w:r>
            <w:proofErr w:type="spellStart"/>
            <w:r w:rsidRPr="000E11FC">
              <w:rPr>
                <w:rFonts w:ascii="CorpoS" w:hAnsi="CorpoS"/>
                <w:sz w:val="22"/>
                <w:szCs w:val="22"/>
              </w:rPr>
              <w:t>davon</w:t>
            </w:r>
            <w:proofErr w:type="spellEnd"/>
            <w:r w:rsidRPr="000E11FC">
              <w:rPr>
                <w:rFonts w:ascii="CorpoS" w:hAnsi="CorpoS"/>
                <w:sz w:val="22"/>
                <w:szCs w:val="22"/>
              </w:rPr>
              <w:t xml:space="preserve"> </w:t>
            </w:r>
            <w:proofErr w:type="spellStart"/>
            <w:r w:rsidRPr="000E11FC">
              <w:rPr>
                <w:rFonts w:ascii="CorpoS" w:hAnsi="CorpoS"/>
                <w:sz w:val="22"/>
                <w:szCs w:val="22"/>
              </w:rPr>
              <w:t>zivile</w:t>
            </w:r>
            <w:proofErr w:type="spellEnd"/>
            <w:r w:rsidRPr="000E11FC">
              <w:rPr>
                <w:rFonts w:ascii="CorpoS" w:hAnsi="CorpoS"/>
                <w:sz w:val="22"/>
                <w:szCs w:val="22"/>
              </w:rPr>
              <w:t xml:space="preserve"> </w:t>
            </w:r>
            <w:proofErr w:type="spellStart"/>
            <w:r w:rsidRPr="000E11FC">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594</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658</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1.866</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2.010</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+ 8</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rPr>
              <w:t>EBIT (</w:t>
            </w:r>
            <w:proofErr w:type="spellStart"/>
            <w:r w:rsidRPr="000E11FC">
              <w:rPr>
                <w:rFonts w:ascii="CorpoS" w:hAnsi="CorpoS"/>
                <w:sz w:val="22"/>
                <w:szCs w:val="22"/>
              </w:rPr>
              <w:t>bereinigt</w:t>
            </w:r>
            <w:proofErr w:type="spellEnd"/>
            <w:r w:rsidRPr="000E11FC">
              <w:rPr>
                <w:rFonts w:ascii="CorpoS" w:hAnsi="CorpoS"/>
                <w:sz w:val="22"/>
                <w:szCs w:val="22"/>
              </w:rPr>
              <w:t>)</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87</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117</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311</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307</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- 1</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rPr>
              <w:t xml:space="preserve">   </w:t>
            </w:r>
            <w:proofErr w:type="spellStart"/>
            <w:r w:rsidRPr="000E11FC">
              <w:rPr>
                <w:rFonts w:ascii="CorpoS" w:hAnsi="CorpoS"/>
                <w:sz w:val="22"/>
                <w:szCs w:val="22"/>
              </w:rPr>
              <w:t>davon</w:t>
            </w:r>
            <w:proofErr w:type="spellEnd"/>
            <w:r w:rsidRPr="000E11FC">
              <w:rPr>
                <w:rFonts w:ascii="CorpoS" w:hAnsi="CorpoS"/>
                <w:sz w:val="22"/>
                <w:szCs w:val="22"/>
              </w:rPr>
              <w:t xml:space="preserve"> OEM-</w:t>
            </w:r>
            <w:proofErr w:type="spellStart"/>
            <w:r w:rsidRPr="000E11FC">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66</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89</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194</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202</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+ 4</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rPr>
              <w:t xml:space="preserve">   </w:t>
            </w:r>
            <w:proofErr w:type="spellStart"/>
            <w:r w:rsidRPr="000E11FC">
              <w:rPr>
                <w:rFonts w:ascii="CorpoS" w:hAnsi="CorpoS"/>
                <w:sz w:val="22"/>
                <w:szCs w:val="22"/>
              </w:rPr>
              <w:t>davon</w:t>
            </w:r>
            <w:proofErr w:type="spellEnd"/>
            <w:r w:rsidRPr="000E11FC">
              <w:rPr>
                <w:rFonts w:ascii="CorpoS" w:hAnsi="CorpoS"/>
                <w:sz w:val="22"/>
                <w:szCs w:val="22"/>
              </w:rPr>
              <w:t xml:space="preserve"> </w:t>
            </w:r>
            <w:proofErr w:type="spellStart"/>
            <w:r w:rsidRPr="000E11FC">
              <w:rPr>
                <w:rFonts w:ascii="CorpoS" w:hAnsi="CorpoS"/>
                <w:sz w:val="22"/>
                <w:szCs w:val="22"/>
              </w:rPr>
              <w:t>zivile</w:t>
            </w:r>
            <w:proofErr w:type="spellEnd"/>
            <w:r w:rsidRPr="000E11FC">
              <w:rPr>
                <w:rFonts w:ascii="CorpoS" w:hAnsi="CorpoS"/>
                <w:sz w:val="22"/>
                <w:szCs w:val="22"/>
              </w:rPr>
              <w:t xml:space="preserve"> </w:t>
            </w:r>
            <w:proofErr w:type="spellStart"/>
            <w:r w:rsidRPr="000E11FC">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20</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28</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116</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105</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- 9</w:t>
            </w:r>
            <w:r>
              <w:rPr>
                <w:rFonts w:ascii="CorpoS" w:hAnsi="CorpoS" w:cs="Arial"/>
                <w:sz w:val="22"/>
                <w:szCs w:val="22"/>
              </w:rPr>
              <w:t xml:space="preserve"> </w:t>
            </w:r>
            <w:r w:rsidRPr="000E11FC">
              <w:rPr>
                <w:rFonts w:ascii="CorpoS" w:hAnsi="CorpoS" w:cs="Arial"/>
                <w:sz w:val="22"/>
                <w:szCs w:val="22"/>
              </w:rPr>
              <w:t>%</w:t>
            </w:r>
          </w:p>
        </w:tc>
      </w:tr>
      <w:tr w:rsidR="000E11FC" w:rsidRPr="000E11FC" w:rsidDel="0033104F" w:rsidTr="00126044">
        <w:tc>
          <w:tcPr>
            <w:tcW w:w="3969" w:type="dxa"/>
            <w:tcBorders>
              <w:right w:val="single" w:sz="4" w:space="0" w:color="auto"/>
            </w:tcBorders>
            <w:shd w:val="clear" w:color="auto" w:fill="auto"/>
          </w:tcPr>
          <w:p w:rsidR="000E11FC" w:rsidRPr="000E11FC" w:rsidRDefault="000E11FC" w:rsidP="000E11FC">
            <w:pPr>
              <w:rPr>
                <w:rFonts w:ascii="CorpoS" w:hAnsi="CorpoS"/>
                <w:i/>
                <w:sz w:val="22"/>
                <w:szCs w:val="22"/>
              </w:rPr>
            </w:pPr>
            <w:r w:rsidRPr="000E11FC">
              <w:rPr>
                <w:rFonts w:ascii="CorpoS" w:hAnsi="CorpoS"/>
                <w:i/>
                <w:sz w:val="22"/>
                <w:szCs w:val="22"/>
              </w:rPr>
              <w:t>EBIT-Marge (</w:t>
            </w:r>
            <w:proofErr w:type="spellStart"/>
            <w:r w:rsidRPr="000E11FC">
              <w:rPr>
                <w:rFonts w:ascii="CorpoS" w:hAnsi="CorpoS"/>
                <w:i/>
                <w:sz w:val="22"/>
                <w:szCs w:val="22"/>
              </w:rPr>
              <w:t>bereinigt</w:t>
            </w:r>
            <w:proofErr w:type="spellEnd"/>
            <w:r w:rsidRPr="000E11FC">
              <w:rPr>
                <w:rFonts w:ascii="CorpoS" w:hAnsi="CorpoS"/>
                <w:i/>
                <w:sz w:val="22"/>
                <w:szCs w:val="22"/>
              </w:rPr>
              <w:t>)</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9,5</w:t>
            </w:r>
            <w:r>
              <w:rPr>
                <w:rFonts w:ascii="CorpoS" w:hAnsi="CorpoS" w:cs="Arial"/>
                <w:i/>
                <w:iCs/>
                <w:sz w:val="22"/>
                <w:szCs w:val="22"/>
              </w:rPr>
              <w:t xml:space="preserve"> </w:t>
            </w:r>
            <w:r w:rsidRPr="000E11FC">
              <w:rPr>
                <w:rFonts w:ascii="CorpoS" w:hAnsi="CorpoS" w:cs="Arial"/>
                <w:i/>
                <w:iCs/>
                <w:sz w:val="22"/>
                <w:szCs w:val="22"/>
              </w:rPr>
              <w:t>%</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11,7</w:t>
            </w:r>
            <w:r>
              <w:rPr>
                <w:rFonts w:ascii="CorpoS" w:hAnsi="CorpoS" w:cs="Arial"/>
                <w:i/>
                <w:iCs/>
                <w:sz w:val="22"/>
                <w:szCs w:val="22"/>
              </w:rPr>
              <w:t xml:space="preserve"> </w:t>
            </w:r>
            <w:r w:rsidRPr="000E11FC">
              <w:rPr>
                <w:rFonts w:ascii="CorpoS" w:hAnsi="CorpoS" w:cs="Arial"/>
                <w:i/>
                <w:iCs/>
                <w:sz w:val="22"/>
                <w:szCs w:val="22"/>
              </w:rPr>
              <w:t>%</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10,5</w:t>
            </w:r>
            <w:r>
              <w:rPr>
                <w:rFonts w:ascii="CorpoS" w:hAnsi="CorpoS" w:cs="Arial"/>
                <w:i/>
                <w:iCs/>
                <w:sz w:val="22"/>
                <w:szCs w:val="22"/>
              </w:rPr>
              <w:t xml:space="preserve"> </w:t>
            </w:r>
            <w:r w:rsidRPr="000E11FC">
              <w:rPr>
                <w:rFonts w:ascii="CorpoS" w:hAnsi="CorpoS" w:cs="Arial"/>
                <w:i/>
                <w:iCs/>
                <w:sz w:val="22"/>
                <w:szCs w:val="22"/>
              </w:rPr>
              <w:t>%</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10,2</w:t>
            </w:r>
            <w:r>
              <w:rPr>
                <w:rFonts w:ascii="CorpoS" w:hAnsi="CorpoS" w:cs="Arial"/>
                <w:i/>
                <w:iCs/>
                <w:sz w:val="22"/>
                <w:szCs w:val="22"/>
              </w:rPr>
              <w:t xml:space="preserve"> </w:t>
            </w:r>
            <w:r w:rsidRPr="000E11FC">
              <w:rPr>
                <w:rFonts w:ascii="CorpoS" w:hAnsi="CorpoS" w:cs="Arial"/>
                <w:i/>
                <w:iCs/>
                <w:sz w:val="22"/>
                <w:szCs w:val="22"/>
              </w:rPr>
              <w:t>%</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 </w:t>
            </w:r>
          </w:p>
        </w:tc>
      </w:tr>
      <w:tr w:rsidR="000E11FC" w:rsidRPr="000E11FC" w:rsidDel="0033104F" w:rsidTr="00126044">
        <w:tc>
          <w:tcPr>
            <w:tcW w:w="3969" w:type="dxa"/>
            <w:tcBorders>
              <w:right w:val="single" w:sz="4" w:space="0" w:color="auto"/>
            </w:tcBorders>
            <w:shd w:val="clear" w:color="auto" w:fill="auto"/>
          </w:tcPr>
          <w:p w:rsidR="000E11FC" w:rsidRPr="000E11FC" w:rsidRDefault="000E11FC" w:rsidP="000E11FC">
            <w:pPr>
              <w:tabs>
                <w:tab w:val="left" w:pos="176"/>
              </w:tabs>
              <w:rPr>
                <w:rFonts w:ascii="CorpoS" w:hAnsi="CorpoS"/>
                <w:i/>
                <w:sz w:val="22"/>
                <w:szCs w:val="22"/>
              </w:rPr>
            </w:pPr>
            <w:r w:rsidRPr="000E11FC">
              <w:rPr>
                <w:rFonts w:ascii="CorpoS" w:hAnsi="CorpoS"/>
                <w:i/>
                <w:sz w:val="22"/>
                <w:szCs w:val="22"/>
              </w:rPr>
              <w:t xml:space="preserve">   </w:t>
            </w:r>
            <w:proofErr w:type="spellStart"/>
            <w:r w:rsidRPr="000E11FC">
              <w:rPr>
                <w:rFonts w:ascii="CorpoS" w:hAnsi="CorpoS"/>
                <w:i/>
                <w:sz w:val="22"/>
                <w:szCs w:val="22"/>
              </w:rPr>
              <w:t>im</w:t>
            </w:r>
            <w:proofErr w:type="spellEnd"/>
            <w:r w:rsidRPr="000E11FC">
              <w:rPr>
                <w:rFonts w:ascii="CorpoS" w:hAnsi="CorpoS"/>
                <w:i/>
                <w:sz w:val="22"/>
                <w:szCs w:val="22"/>
              </w:rPr>
              <w:t xml:space="preserve"> OEM-</w:t>
            </w:r>
            <w:proofErr w:type="spellStart"/>
            <w:r w:rsidRPr="000E11FC">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19,9</w:t>
            </w:r>
            <w:r>
              <w:rPr>
                <w:rFonts w:ascii="CorpoS" w:hAnsi="CorpoS" w:cs="Arial"/>
                <w:i/>
                <w:iCs/>
                <w:sz w:val="22"/>
                <w:szCs w:val="22"/>
              </w:rPr>
              <w:t xml:space="preserve"> </w:t>
            </w:r>
            <w:r w:rsidRPr="000E11FC">
              <w:rPr>
                <w:rFonts w:ascii="CorpoS" w:hAnsi="CorpoS" w:cs="Arial"/>
                <w:i/>
                <w:iCs/>
                <w:sz w:val="22"/>
                <w:szCs w:val="22"/>
              </w:rPr>
              <w:t>%</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23,9</w:t>
            </w:r>
            <w:r>
              <w:rPr>
                <w:rFonts w:ascii="CorpoS" w:hAnsi="CorpoS" w:cs="Arial"/>
                <w:i/>
                <w:iCs/>
                <w:sz w:val="22"/>
                <w:szCs w:val="22"/>
              </w:rPr>
              <w:t xml:space="preserve"> </w:t>
            </w:r>
            <w:r w:rsidRPr="000E11FC">
              <w:rPr>
                <w:rFonts w:ascii="CorpoS" w:hAnsi="CorpoS" w:cs="Arial"/>
                <w:i/>
                <w:iCs/>
                <w:sz w:val="22"/>
                <w:szCs w:val="22"/>
              </w:rPr>
              <w:t>%</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16,9</w:t>
            </w:r>
            <w:r>
              <w:rPr>
                <w:rFonts w:ascii="CorpoS" w:hAnsi="CorpoS" w:cs="Arial"/>
                <w:i/>
                <w:iCs/>
                <w:sz w:val="22"/>
                <w:szCs w:val="22"/>
              </w:rPr>
              <w:t xml:space="preserve"> </w:t>
            </w:r>
            <w:r w:rsidRPr="000E11FC">
              <w:rPr>
                <w:rFonts w:ascii="CorpoS" w:hAnsi="CorpoS" w:cs="Arial"/>
                <w:i/>
                <w:iCs/>
                <w:sz w:val="22"/>
                <w:szCs w:val="22"/>
              </w:rPr>
              <w:t>%</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18,8</w:t>
            </w:r>
            <w:r>
              <w:rPr>
                <w:rFonts w:ascii="CorpoS" w:hAnsi="CorpoS" w:cs="Arial"/>
                <w:i/>
                <w:iCs/>
                <w:sz w:val="22"/>
                <w:szCs w:val="22"/>
              </w:rPr>
              <w:t xml:space="preserve"> </w:t>
            </w:r>
            <w:r w:rsidRPr="000E11FC">
              <w:rPr>
                <w:rFonts w:ascii="CorpoS" w:hAnsi="CorpoS" w:cs="Arial"/>
                <w:i/>
                <w:iCs/>
                <w:sz w:val="22"/>
                <w:szCs w:val="22"/>
              </w:rPr>
              <w:t>%</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 </w:t>
            </w:r>
          </w:p>
        </w:tc>
      </w:tr>
      <w:tr w:rsidR="000E11FC" w:rsidRPr="000E11FC" w:rsidDel="0033104F" w:rsidTr="00126044">
        <w:tc>
          <w:tcPr>
            <w:tcW w:w="3969" w:type="dxa"/>
            <w:tcBorders>
              <w:right w:val="single" w:sz="4" w:space="0" w:color="auto"/>
            </w:tcBorders>
            <w:shd w:val="clear" w:color="auto" w:fill="auto"/>
          </w:tcPr>
          <w:p w:rsidR="000E11FC" w:rsidRPr="000E11FC" w:rsidRDefault="000E11FC" w:rsidP="000E11FC">
            <w:pPr>
              <w:rPr>
                <w:rFonts w:ascii="CorpoS" w:hAnsi="CorpoS"/>
                <w:i/>
                <w:sz w:val="22"/>
                <w:szCs w:val="22"/>
              </w:rPr>
            </w:pPr>
            <w:r w:rsidRPr="000E11FC">
              <w:rPr>
                <w:rFonts w:ascii="CorpoS" w:hAnsi="CorpoS"/>
                <w:i/>
                <w:sz w:val="22"/>
                <w:szCs w:val="22"/>
              </w:rPr>
              <w:t xml:space="preserve">   in der </w:t>
            </w:r>
            <w:proofErr w:type="spellStart"/>
            <w:r w:rsidRPr="000E11FC">
              <w:rPr>
                <w:rFonts w:ascii="CorpoS" w:hAnsi="CorpoS"/>
                <w:i/>
                <w:sz w:val="22"/>
                <w:szCs w:val="22"/>
              </w:rPr>
              <w:t>zivilen</w:t>
            </w:r>
            <w:proofErr w:type="spellEnd"/>
            <w:r w:rsidRPr="000E11FC">
              <w:rPr>
                <w:rFonts w:ascii="CorpoS" w:hAnsi="CorpoS"/>
                <w:i/>
                <w:sz w:val="22"/>
                <w:szCs w:val="22"/>
              </w:rPr>
              <w:t xml:space="preserve"> </w:t>
            </w:r>
            <w:proofErr w:type="spellStart"/>
            <w:r w:rsidRPr="000E11FC">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3,3</w:t>
            </w:r>
            <w:r>
              <w:rPr>
                <w:rFonts w:ascii="CorpoS" w:hAnsi="CorpoS" w:cs="Arial"/>
                <w:i/>
                <w:iCs/>
                <w:sz w:val="22"/>
                <w:szCs w:val="22"/>
              </w:rPr>
              <w:t xml:space="preserve"> </w:t>
            </w:r>
            <w:r w:rsidRPr="000E11FC">
              <w:rPr>
                <w:rFonts w:ascii="CorpoS" w:hAnsi="CorpoS" w:cs="Arial"/>
                <w:i/>
                <w:iCs/>
                <w:sz w:val="22"/>
                <w:szCs w:val="22"/>
              </w:rPr>
              <w:t>%</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4,2</w:t>
            </w:r>
            <w:r>
              <w:rPr>
                <w:rFonts w:ascii="CorpoS" w:hAnsi="CorpoS" w:cs="Arial"/>
                <w:i/>
                <w:iCs/>
                <w:sz w:val="22"/>
                <w:szCs w:val="22"/>
              </w:rPr>
              <w:t xml:space="preserve"> </w:t>
            </w:r>
            <w:r w:rsidRPr="000E11FC">
              <w:rPr>
                <w:rFonts w:ascii="CorpoS" w:hAnsi="CorpoS" w:cs="Arial"/>
                <w:i/>
                <w:iCs/>
                <w:sz w:val="22"/>
                <w:szCs w:val="22"/>
              </w:rPr>
              <w:t>%</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6,2</w:t>
            </w:r>
            <w:r>
              <w:rPr>
                <w:rFonts w:ascii="CorpoS" w:hAnsi="CorpoS" w:cs="Arial"/>
                <w:i/>
                <w:iCs/>
                <w:sz w:val="22"/>
                <w:szCs w:val="22"/>
              </w:rPr>
              <w:t xml:space="preserve"> </w:t>
            </w:r>
            <w:r w:rsidRPr="000E11FC">
              <w:rPr>
                <w:rFonts w:ascii="CorpoS" w:hAnsi="CorpoS" w:cs="Arial"/>
                <w:i/>
                <w:iCs/>
                <w:sz w:val="22"/>
                <w:szCs w:val="22"/>
              </w:rPr>
              <w:t>%</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5,2</w:t>
            </w:r>
            <w:r>
              <w:rPr>
                <w:rFonts w:ascii="CorpoS" w:hAnsi="CorpoS" w:cs="Arial"/>
                <w:i/>
                <w:iCs/>
                <w:sz w:val="22"/>
                <w:szCs w:val="22"/>
              </w:rPr>
              <w:t xml:space="preserve"> </w:t>
            </w:r>
            <w:r w:rsidRPr="000E11FC">
              <w:rPr>
                <w:rFonts w:ascii="CorpoS" w:hAnsi="CorpoS" w:cs="Arial"/>
                <w:i/>
                <w:iCs/>
                <w:sz w:val="22"/>
                <w:szCs w:val="22"/>
              </w:rPr>
              <w:t>%</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 </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rPr>
              <w:t>Net Income (</w:t>
            </w:r>
            <w:proofErr w:type="spellStart"/>
            <w:r w:rsidRPr="000E11FC">
              <w:rPr>
                <w:rFonts w:ascii="CorpoS" w:hAnsi="CorpoS"/>
                <w:sz w:val="22"/>
                <w:szCs w:val="22"/>
              </w:rPr>
              <w:t>bereinigt</w:t>
            </w:r>
            <w:proofErr w:type="spellEnd"/>
            <w:r w:rsidRPr="000E11FC">
              <w:rPr>
                <w:rFonts w:ascii="CorpoS" w:hAnsi="CorpoS"/>
                <w:sz w:val="22"/>
                <w:szCs w:val="22"/>
              </w:rPr>
              <w:t>)</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58</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85</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219</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220</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+ 0</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rPr>
              <w:t>Net Income (reported)</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16</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87</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141</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190</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+ 35</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lang w:val="de-DE"/>
              </w:rPr>
            </w:pPr>
            <w:r w:rsidRPr="000E11FC">
              <w:rPr>
                <w:rFonts w:ascii="CorpoS" w:hAnsi="CorpoS"/>
                <w:sz w:val="22"/>
                <w:szCs w:val="22"/>
                <w:lang w:val="de-DE"/>
              </w:rPr>
              <w:t>Ergebnis je Aktie (</w:t>
            </w:r>
            <w:proofErr w:type="spellStart"/>
            <w:r w:rsidRPr="000E11FC">
              <w:rPr>
                <w:rFonts w:ascii="CorpoS" w:hAnsi="CorpoS"/>
                <w:sz w:val="22"/>
                <w:szCs w:val="22"/>
                <w:lang w:val="de-DE"/>
              </w:rPr>
              <w:t>unverwässert</w:t>
            </w:r>
            <w:proofErr w:type="spellEnd"/>
            <w:r w:rsidRPr="000E11FC">
              <w:rPr>
                <w:rFonts w:ascii="CorpoS" w:hAnsi="CorpoS"/>
                <w:sz w:val="22"/>
                <w:szCs w:val="22"/>
                <w:lang w:val="de-DE"/>
              </w:rPr>
              <w:t xml:space="preserve">, </w:t>
            </w:r>
            <w:proofErr w:type="spellStart"/>
            <w:r w:rsidRPr="000E11FC">
              <w:rPr>
                <w:rFonts w:ascii="CorpoS" w:hAnsi="CorpoS"/>
                <w:sz w:val="22"/>
                <w:szCs w:val="22"/>
                <w:lang w:val="de-DE"/>
              </w:rPr>
              <w:t>reported</w:t>
            </w:r>
            <w:proofErr w:type="spellEnd"/>
            <w:r w:rsidRPr="000E11FC">
              <w:rPr>
                <w:rFonts w:ascii="CorpoS" w:hAnsi="CorpoS"/>
                <w:sz w:val="22"/>
                <w:szCs w:val="22"/>
                <w:lang w:val="de-DE"/>
              </w:rPr>
              <w:t>)</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0,28</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1,62</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2,58</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3,50</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+ 36</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rPr>
              <w:t xml:space="preserve">Free </w:t>
            </w:r>
            <w:proofErr w:type="spellStart"/>
            <w:r w:rsidRPr="000E11FC">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20</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18</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145</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205</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+ 41</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lang w:val="de-DE"/>
              </w:rPr>
            </w:pPr>
            <w:r w:rsidRPr="000E11FC">
              <w:rPr>
                <w:rFonts w:ascii="CorpoS" w:hAnsi="CorpoS"/>
                <w:sz w:val="22"/>
                <w:szCs w:val="22"/>
                <w:lang w:val="de-DE"/>
              </w:rPr>
              <w:t>Forschungs- und Entwicklungskosten</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41</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60</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139</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162</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+ 16</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lang w:val="de-DE"/>
              </w:rPr>
            </w:pPr>
            <w:r w:rsidRPr="000E11FC">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35</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41</w:t>
            </w:r>
          </w:p>
        </w:tc>
        <w:tc>
          <w:tcPr>
            <w:tcW w:w="1276" w:type="dxa"/>
            <w:tcBorders>
              <w:lef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119</w:t>
            </w:r>
          </w:p>
        </w:tc>
        <w:tc>
          <w:tcPr>
            <w:tcW w:w="1276" w:type="dxa"/>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116</w:t>
            </w:r>
          </w:p>
        </w:tc>
        <w:tc>
          <w:tcPr>
            <w:tcW w:w="1418" w:type="dxa"/>
            <w:tcBorders>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- 2</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bottom w:val="single" w:sz="4" w:space="0" w:color="auto"/>
              <w:right w:val="single" w:sz="4" w:space="0" w:color="auto"/>
            </w:tcBorders>
            <w:shd w:val="clear" w:color="auto" w:fill="auto"/>
          </w:tcPr>
          <w:p w:rsidR="000E11FC" w:rsidRPr="000E11FC" w:rsidRDefault="000E11FC" w:rsidP="000E11FC">
            <w:pPr>
              <w:rPr>
                <w:rFonts w:ascii="CorpoS" w:hAnsi="CorpoS"/>
                <w:sz w:val="22"/>
                <w:szCs w:val="22"/>
              </w:rPr>
            </w:pPr>
            <w:r w:rsidRPr="000E11FC">
              <w:rPr>
                <w:rFonts w:ascii="CorpoS" w:hAnsi="CorpoS"/>
                <w:sz w:val="22"/>
                <w:szCs w:val="22"/>
                <w:lang w:val="de-DE"/>
              </w:rPr>
              <w:t xml:space="preserve">   davon f</w:t>
            </w:r>
            <w:proofErr w:type="spellStart"/>
            <w:r w:rsidRPr="000E11FC">
              <w:rPr>
                <w:rFonts w:ascii="CorpoS" w:hAnsi="CorpoS"/>
                <w:sz w:val="22"/>
                <w:szCs w:val="22"/>
              </w:rPr>
              <w:t>remdfinanzierte</w:t>
            </w:r>
            <w:proofErr w:type="spellEnd"/>
            <w:r w:rsidRPr="000E11FC">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7</w:t>
            </w:r>
          </w:p>
        </w:tc>
        <w:tc>
          <w:tcPr>
            <w:tcW w:w="1134" w:type="dxa"/>
            <w:tcBorders>
              <w:left w:val="single" w:sz="4" w:space="0" w:color="auto"/>
              <w:bottom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19</w:t>
            </w:r>
          </w:p>
        </w:tc>
        <w:tc>
          <w:tcPr>
            <w:tcW w:w="1276" w:type="dxa"/>
            <w:tcBorders>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21</w:t>
            </w:r>
          </w:p>
        </w:tc>
        <w:tc>
          <w:tcPr>
            <w:tcW w:w="1276" w:type="dxa"/>
            <w:tcBorders>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46</w:t>
            </w:r>
          </w:p>
        </w:tc>
        <w:tc>
          <w:tcPr>
            <w:tcW w:w="1418" w:type="dxa"/>
            <w:tcBorders>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+ 120</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lang w:val="de-DE"/>
              </w:rPr>
            </w:pPr>
            <w:r w:rsidRPr="000E11FC">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16</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22</w:t>
            </w:r>
          </w:p>
        </w:tc>
        <w:tc>
          <w:tcPr>
            <w:tcW w:w="1276" w:type="dxa"/>
            <w:tcBorders>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41</w:t>
            </w:r>
          </w:p>
        </w:tc>
        <w:tc>
          <w:tcPr>
            <w:tcW w:w="1276" w:type="dxa"/>
            <w:tcBorders>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60</w:t>
            </w:r>
          </w:p>
        </w:tc>
        <w:tc>
          <w:tcPr>
            <w:tcW w:w="1418" w:type="dxa"/>
            <w:tcBorders>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i/>
                <w:iCs/>
                <w:sz w:val="22"/>
                <w:szCs w:val="22"/>
              </w:rPr>
            </w:pPr>
            <w:r w:rsidRPr="000E11FC">
              <w:rPr>
                <w:rFonts w:ascii="CorpoS" w:hAnsi="CorpoS" w:cs="Arial"/>
                <w:i/>
                <w:iCs/>
                <w:sz w:val="22"/>
                <w:szCs w:val="22"/>
              </w:rPr>
              <w:t>+ 48</w:t>
            </w:r>
            <w:r>
              <w:rPr>
                <w:rFonts w:ascii="CorpoS" w:hAnsi="CorpoS" w:cs="Arial"/>
                <w:i/>
                <w:iCs/>
                <w:sz w:val="22"/>
                <w:szCs w:val="22"/>
              </w:rPr>
              <w:t xml:space="preserve"> </w:t>
            </w:r>
            <w:r w:rsidRPr="000E11FC">
              <w:rPr>
                <w:rFonts w:ascii="CorpoS" w:hAnsi="CorpoS" w:cs="Arial"/>
                <w:i/>
                <w:iCs/>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sz w:val="22"/>
                <w:szCs w:val="22"/>
              </w:rPr>
            </w:pPr>
            <w:proofErr w:type="spellStart"/>
            <w:r w:rsidRPr="000E11FC">
              <w:rPr>
                <w:rFonts w:ascii="CorpoS" w:hAnsi="CorpoS"/>
                <w:sz w:val="22"/>
                <w:szCs w:val="22"/>
              </w:rPr>
              <w:t>Netto-Auszahlungen</w:t>
            </w:r>
            <w:proofErr w:type="spellEnd"/>
            <w:r w:rsidRPr="000E11FC">
              <w:rPr>
                <w:rFonts w:ascii="CorpoS" w:hAnsi="CorpoS"/>
                <w:sz w:val="22"/>
                <w:szCs w:val="22"/>
              </w:rPr>
              <w:t xml:space="preserve"> in </w:t>
            </w:r>
            <w:proofErr w:type="spellStart"/>
            <w:r w:rsidRPr="000E11FC">
              <w:rPr>
                <w:rFonts w:ascii="CorpoS" w:hAnsi="CorpoS"/>
                <w:sz w:val="22"/>
                <w:szCs w:val="22"/>
              </w:rPr>
              <w:t>Sachanlagen</w:t>
            </w:r>
            <w:proofErr w:type="spellEnd"/>
          </w:p>
        </w:tc>
        <w:tc>
          <w:tcPr>
            <w:tcW w:w="1134" w:type="dxa"/>
            <w:tcBorders>
              <w:left w:val="single" w:sz="4" w:space="0" w:color="auto"/>
              <w:right w:val="single" w:sz="4"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30</w:t>
            </w:r>
          </w:p>
        </w:tc>
        <w:tc>
          <w:tcPr>
            <w:tcW w:w="1134" w:type="dxa"/>
            <w:tcBorders>
              <w:left w:val="single" w:sz="4" w:space="0" w:color="auto"/>
              <w:right w:val="single" w:sz="18" w:space="0" w:color="auto"/>
            </w:tcBorders>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54</w:t>
            </w:r>
          </w:p>
        </w:tc>
        <w:tc>
          <w:tcPr>
            <w:tcW w:w="1276" w:type="dxa"/>
            <w:tcBorders>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93</w:t>
            </w:r>
          </w:p>
        </w:tc>
        <w:tc>
          <w:tcPr>
            <w:tcW w:w="1276" w:type="dxa"/>
            <w:tcBorders>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117</w:t>
            </w:r>
          </w:p>
        </w:tc>
        <w:tc>
          <w:tcPr>
            <w:tcW w:w="1418" w:type="dxa"/>
            <w:tcBorders>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+ 25</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rPr>
          <w:trHeight w:val="81"/>
        </w:trPr>
        <w:tc>
          <w:tcPr>
            <w:tcW w:w="6237" w:type="dxa"/>
            <w:gridSpan w:val="3"/>
            <w:tcBorders>
              <w:right w:val="single" w:sz="18" w:space="0" w:color="auto"/>
            </w:tcBorders>
            <w:shd w:val="clear" w:color="auto" w:fill="auto"/>
          </w:tcPr>
          <w:p w:rsidR="002C2460" w:rsidRPr="000E11FC"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2C2460" w:rsidRPr="000E11FC" w:rsidRDefault="002C2460" w:rsidP="00126044">
            <w:pPr>
              <w:ind w:right="33"/>
              <w:jc w:val="right"/>
              <w:rPr>
                <w:rFonts w:ascii="CorpoS" w:hAnsi="CorpoS"/>
                <w:b/>
                <w:sz w:val="8"/>
                <w:szCs w:val="8"/>
              </w:rPr>
            </w:pPr>
          </w:p>
        </w:tc>
      </w:tr>
      <w:tr w:rsidR="000E11FC" w:rsidRPr="000E11FC" w:rsidTr="00126044">
        <w:tc>
          <w:tcPr>
            <w:tcW w:w="3969" w:type="dxa"/>
            <w:tcBorders>
              <w:right w:val="single" w:sz="4" w:space="0" w:color="auto"/>
            </w:tcBorders>
            <w:shd w:val="clear" w:color="auto" w:fill="auto"/>
          </w:tcPr>
          <w:p w:rsidR="002C2460" w:rsidRPr="000E11FC" w:rsidRDefault="002C2460" w:rsidP="00126044">
            <w:pPr>
              <w:rPr>
                <w:rFonts w:ascii="CorpoS" w:hAnsi="CorpoS"/>
                <w:sz w:val="22"/>
                <w:szCs w:val="22"/>
              </w:rPr>
            </w:pPr>
          </w:p>
        </w:tc>
        <w:tc>
          <w:tcPr>
            <w:tcW w:w="1134" w:type="dxa"/>
            <w:tcBorders>
              <w:left w:val="single" w:sz="4" w:space="0" w:color="auto"/>
              <w:right w:val="single" w:sz="4" w:space="0" w:color="auto"/>
            </w:tcBorders>
          </w:tcPr>
          <w:p w:rsidR="002C2460" w:rsidRPr="000E11FC"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rsidR="002C2460" w:rsidRPr="000E11FC"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2C2460" w:rsidRPr="000E11FC" w:rsidRDefault="002C2460" w:rsidP="0030178E">
            <w:pPr>
              <w:jc w:val="right"/>
              <w:rPr>
                <w:rFonts w:ascii="CorpoS" w:hAnsi="CorpoS"/>
                <w:b/>
                <w:sz w:val="22"/>
                <w:szCs w:val="22"/>
              </w:rPr>
            </w:pPr>
            <w:r w:rsidRPr="000E11FC">
              <w:rPr>
                <w:rFonts w:ascii="CorpoS" w:hAnsi="CorpoS"/>
                <w:b/>
                <w:sz w:val="22"/>
                <w:szCs w:val="22"/>
              </w:rPr>
              <w:t xml:space="preserve">31. </w:t>
            </w:r>
            <w:proofErr w:type="spellStart"/>
            <w:r w:rsidRPr="000E11FC">
              <w:rPr>
                <w:rFonts w:ascii="CorpoS" w:hAnsi="CorpoS"/>
                <w:b/>
                <w:sz w:val="22"/>
                <w:szCs w:val="22"/>
              </w:rPr>
              <w:t>Dez</w:t>
            </w:r>
            <w:proofErr w:type="spellEnd"/>
            <w:r w:rsidRPr="000E11FC">
              <w:rPr>
                <w:rFonts w:ascii="CorpoS" w:hAnsi="CorpoS"/>
                <w:b/>
                <w:sz w:val="22"/>
                <w:szCs w:val="22"/>
              </w:rPr>
              <w:t>. 20</w:t>
            </w:r>
            <w:r w:rsidR="0030178E" w:rsidRPr="000E11FC">
              <w:rPr>
                <w:rFonts w:ascii="CorpoS" w:hAnsi="CorpoS"/>
                <w:b/>
                <w:sz w:val="22"/>
                <w:szCs w:val="22"/>
              </w:rPr>
              <w:t>20</w:t>
            </w:r>
          </w:p>
        </w:tc>
        <w:tc>
          <w:tcPr>
            <w:tcW w:w="1276" w:type="dxa"/>
            <w:tcBorders>
              <w:bottom w:val="single" w:sz="4" w:space="0" w:color="auto"/>
            </w:tcBorders>
            <w:shd w:val="clear" w:color="auto" w:fill="auto"/>
          </w:tcPr>
          <w:p w:rsidR="002C2460" w:rsidRPr="000E11FC" w:rsidRDefault="002C2460" w:rsidP="00D0121F">
            <w:pPr>
              <w:jc w:val="right"/>
              <w:rPr>
                <w:rFonts w:ascii="CorpoS" w:hAnsi="CorpoS"/>
                <w:b/>
                <w:sz w:val="22"/>
                <w:szCs w:val="22"/>
                <w:lang w:val="de-DE"/>
              </w:rPr>
            </w:pPr>
            <w:r w:rsidRPr="000E11FC">
              <w:rPr>
                <w:rFonts w:ascii="CorpoS" w:hAnsi="CorpoS"/>
                <w:b/>
                <w:sz w:val="22"/>
                <w:szCs w:val="22"/>
                <w:lang w:val="de-DE"/>
              </w:rPr>
              <w:t>30. Sept. 20</w:t>
            </w:r>
            <w:r w:rsidR="00D0121F" w:rsidRPr="000E11FC">
              <w:rPr>
                <w:rFonts w:ascii="CorpoS" w:hAnsi="CorpoS"/>
                <w:b/>
                <w:sz w:val="22"/>
                <w:szCs w:val="22"/>
                <w:lang w:val="de-DE"/>
              </w:rPr>
              <w:t>2</w:t>
            </w:r>
            <w:r w:rsidR="0030178E" w:rsidRPr="000E11FC">
              <w:rPr>
                <w:rFonts w:ascii="CorpoS" w:hAnsi="CorpoS"/>
                <w:b/>
                <w:sz w:val="22"/>
                <w:szCs w:val="22"/>
                <w:lang w:val="de-DE"/>
              </w:rPr>
              <w:t>1</w:t>
            </w:r>
          </w:p>
        </w:tc>
        <w:tc>
          <w:tcPr>
            <w:tcW w:w="1418" w:type="dxa"/>
            <w:tcBorders>
              <w:bottom w:val="single" w:sz="4" w:space="0" w:color="auto"/>
              <w:right w:val="single" w:sz="18" w:space="0" w:color="auto"/>
            </w:tcBorders>
            <w:shd w:val="clear" w:color="auto" w:fill="auto"/>
          </w:tcPr>
          <w:p w:rsidR="002C2460" w:rsidRPr="000E11FC" w:rsidRDefault="002C2460" w:rsidP="00126044">
            <w:pPr>
              <w:ind w:right="33"/>
              <w:rPr>
                <w:rFonts w:ascii="CorpoS" w:hAnsi="CorpoS"/>
                <w:b/>
                <w:sz w:val="22"/>
                <w:szCs w:val="22"/>
                <w:lang w:val="de-DE"/>
              </w:rPr>
            </w:pPr>
            <w:proofErr w:type="spellStart"/>
            <w:r w:rsidRPr="000E11FC">
              <w:rPr>
                <w:rFonts w:ascii="CorpoS" w:hAnsi="CorpoS"/>
                <w:b/>
                <w:sz w:val="22"/>
                <w:szCs w:val="22"/>
                <w:lang w:val="de-DE"/>
              </w:rPr>
              <w:t>Verände-rung</w:t>
            </w:r>
            <w:proofErr w:type="spellEnd"/>
          </w:p>
        </w:tc>
      </w:tr>
      <w:tr w:rsidR="000E11FC" w:rsidRPr="000E11FC" w:rsidTr="00126044">
        <w:tc>
          <w:tcPr>
            <w:tcW w:w="3969" w:type="dxa"/>
            <w:tcBorders>
              <w:right w:val="single" w:sz="4" w:space="0" w:color="auto"/>
            </w:tcBorders>
            <w:shd w:val="clear" w:color="auto" w:fill="auto"/>
          </w:tcPr>
          <w:p w:rsidR="002C2460" w:rsidRPr="000E11FC" w:rsidRDefault="002C2460" w:rsidP="00126044">
            <w:pPr>
              <w:rPr>
                <w:rFonts w:ascii="CorpoS" w:hAnsi="CorpoS"/>
                <w:b/>
                <w:sz w:val="22"/>
                <w:szCs w:val="22"/>
                <w:lang w:val="de-DE"/>
              </w:rPr>
            </w:pPr>
            <w:r w:rsidRPr="000E11FC">
              <w:rPr>
                <w:rFonts w:ascii="CorpoS" w:hAnsi="CorpoS"/>
                <w:b/>
                <w:sz w:val="22"/>
                <w:szCs w:val="22"/>
                <w:lang w:val="de-DE"/>
              </w:rPr>
              <w:t>Bilanz-Kennzahlen</w:t>
            </w:r>
          </w:p>
        </w:tc>
        <w:tc>
          <w:tcPr>
            <w:tcW w:w="1134" w:type="dxa"/>
            <w:tcBorders>
              <w:left w:val="single" w:sz="4" w:space="0" w:color="auto"/>
              <w:right w:val="single" w:sz="4" w:space="0" w:color="auto"/>
            </w:tcBorders>
          </w:tcPr>
          <w:p w:rsidR="002C2460" w:rsidRPr="000E11FC" w:rsidRDefault="002C2460" w:rsidP="00126044">
            <w:pPr>
              <w:jc w:val="right"/>
              <w:rPr>
                <w:rFonts w:ascii="CorpoS" w:hAnsi="CorpoS"/>
                <w:sz w:val="22"/>
                <w:szCs w:val="22"/>
                <w:lang w:val="de-DE"/>
              </w:rPr>
            </w:pPr>
          </w:p>
        </w:tc>
        <w:tc>
          <w:tcPr>
            <w:tcW w:w="1134" w:type="dxa"/>
            <w:tcBorders>
              <w:left w:val="single" w:sz="4" w:space="0" w:color="auto"/>
              <w:right w:val="single" w:sz="18" w:space="0" w:color="auto"/>
            </w:tcBorders>
          </w:tcPr>
          <w:p w:rsidR="002C2460" w:rsidRPr="000E11FC" w:rsidRDefault="002C2460" w:rsidP="00126044">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2C2460" w:rsidRPr="000E11FC" w:rsidRDefault="002C2460" w:rsidP="00126044">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rsidR="002C2460" w:rsidRPr="000E11FC" w:rsidRDefault="002C2460" w:rsidP="00126044">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2C2460" w:rsidRPr="000E11FC" w:rsidRDefault="002C2460" w:rsidP="00126044">
            <w:pPr>
              <w:ind w:right="33"/>
              <w:jc w:val="right"/>
              <w:rPr>
                <w:rFonts w:ascii="CorpoS" w:hAnsi="CorpoS"/>
                <w:sz w:val="22"/>
                <w:szCs w:val="22"/>
                <w:lang w:val="de-DE"/>
              </w:rPr>
            </w:pP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ind w:firstLine="176"/>
              <w:rPr>
                <w:rFonts w:ascii="CorpoS" w:hAnsi="CorpoS"/>
                <w:sz w:val="22"/>
                <w:szCs w:val="22"/>
                <w:lang w:val="de-DE"/>
              </w:rPr>
            </w:pPr>
            <w:r w:rsidRPr="000E11FC">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0E11FC" w:rsidRPr="000E11FC" w:rsidRDefault="000E11FC" w:rsidP="000E11FC">
            <w:pPr>
              <w:jc w:val="right"/>
              <w:rPr>
                <w:rFonts w:ascii="CorpoS" w:hAnsi="CorpoS"/>
                <w:sz w:val="22"/>
                <w:szCs w:val="22"/>
                <w:lang w:val="de-DE"/>
              </w:rPr>
            </w:pPr>
          </w:p>
        </w:tc>
        <w:tc>
          <w:tcPr>
            <w:tcW w:w="1134" w:type="dxa"/>
            <w:tcBorders>
              <w:left w:val="single" w:sz="4" w:space="0" w:color="auto"/>
              <w:right w:val="single" w:sz="18" w:space="0" w:color="auto"/>
            </w:tcBorders>
          </w:tcPr>
          <w:p w:rsidR="000E11FC" w:rsidRPr="000E11FC" w:rsidRDefault="000E11FC" w:rsidP="000E11F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lang w:val="de-DE" w:eastAsia="zh-CN"/>
              </w:rPr>
            </w:pPr>
            <w:r w:rsidRPr="000E11FC">
              <w:rPr>
                <w:rFonts w:ascii="CorpoS" w:hAnsi="CorpoS" w:cs="Arial"/>
                <w:sz w:val="22"/>
                <w:szCs w:val="22"/>
              </w:rPr>
              <w:t>1.135</w:t>
            </w:r>
          </w:p>
        </w:tc>
        <w:tc>
          <w:tcPr>
            <w:tcW w:w="1276" w:type="dxa"/>
            <w:tcBorders>
              <w:top w:val="single" w:sz="4"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1.156</w:t>
            </w:r>
          </w:p>
        </w:tc>
        <w:tc>
          <w:tcPr>
            <w:tcW w:w="1418" w:type="dxa"/>
            <w:tcBorders>
              <w:top w:val="single" w:sz="4" w:space="0" w:color="auto"/>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+ 2</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ind w:left="176"/>
              <w:rPr>
                <w:rFonts w:ascii="CorpoS" w:hAnsi="CorpoS"/>
                <w:sz w:val="22"/>
                <w:szCs w:val="22"/>
                <w:lang w:val="de-DE"/>
              </w:rPr>
            </w:pPr>
            <w:r w:rsidRPr="000E11FC">
              <w:rPr>
                <w:rFonts w:ascii="CorpoS" w:hAnsi="CorpoS"/>
                <w:sz w:val="22"/>
                <w:szCs w:val="22"/>
                <w:lang w:val="de-DE"/>
              </w:rPr>
              <w:t>Zahlungsmittel und Zahlungsmitteläquivalente</w:t>
            </w:r>
          </w:p>
        </w:tc>
        <w:tc>
          <w:tcPr>
            <w:tcW w:w="1134" w:type="dxa"/>
            <w:tcBorders>
              <w:left w:val="single" w:sz="4" w:space="0" w:color="auto"/>
              <w:right w:val="single" w:sz="4" w:space="0" w:color="auto"/>
            </w:tcBorders>
          </w:tcPr>
          <w:p w:rsidR="000E11FC" w:rsidRPr="000E11FC" w:rsidRDefault="000E11FC" w:rsidP="000E11FC">
            <w:pPr>
              <w:jc w:val="right"/>
              <w:rPr>
                <w:rFonts w:ascii="CorpoS" w:hAnsi="CorpoS"/>
                <w:sz w:val="22"/>
                <w:szCs w:val="22"/>
                <w:lang w:val="de-DE"/>
              </w:rPr>
            </w:pPr>
          </w:p>
        </w:tc>
        <w:tc>
          <w:tcPr>
            <w:tcW w:w="1134" w:type="dxa"/>
            <w:tcBorders>
              <w:left w:val="single" w:sz="4" w:space="0" w:color="auto"/>
              <w:right w:val="single" w:sz="18" w:space="0" w:color="auto"/>
            </w:tcBorders>
          </w:tcPr>
          <w:p w:rsidR="000E11FC" w:rsidRPr="000E11FC" w:rsidRDefault="000E11FC" w:rsidP="000E11F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773</w:t>
            </w:r>
          </w:p>
        </w:tc>
        <w:tc>
          <w:tcPr>
            <w:tcW w:w="1276" w:type="dxa"/>
            <w:tcBorders>
              <w:top w:val="single" w:sz="4"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719</w:t>
            </w:r>
          </w:p>
        </w:tc>
        <w:tc>
          <w:tcPr>
            <w:tcW w:w="1418" w:type="dxa"/>
            <w:tcBorders>
              <w:top w:val="single" w:sz="4" w:space="0" w:color="auto"/>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- 7</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ind w:left="176"/>
              <w:rPr>
                <w:rFonts w:ascii="CorpoS" w:hAnsi="CorpoS"/>
                <w:sz w:val="22"/>
                <w:szCs w:val="22"/>
                <w:lang w:val="de-DE"/>
              </w:rPr>
            </w:pPr>
            <w:r w:rsidRPr="000E11FC">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0E11FC" w:rsidRPr="000E11FC" w:rsidRDefault="000E11FC" w:rsidP="000E11FC">
            <w:pPr>
              <w:jc w:val="right"/>
              <w:rPr>
                <w:rFonts w:ascii="CorpoS" w:hAnsi="CorpoS"/>
                <w:sz w:val="22"/>
                <w:szCs w:val="22"/>
                <w:lang w:val="de-DE"/>
              </w:rPr>
            </w:pPr>
          </w:p>
        </w:tc>
        <w:tc>
          <w:tcPr>
            <w:tcW w:w="1134" w:type="dxa"/>
            <w:tcBorders>
              <w:left w:val="single" w:sz="4" w:space="0" w:color="auto"/>
              <w:right w:val="single" w:sz="18" w:space="0" w:color="auto"/>
            </w:tcBorders>
          </w:tcPr>
          <w:p w:rsidR="000E11FC" w:rsidRPr="000E11FC" w:rsidRDefault="000E11FC" w:rsidP="000E11F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1.009</w:t>
            </w:r>
          </w:p>
        </w:tc>
        <w:tc>
          <w:tcPr>
            <w:tcW w:w="1276" w:type="dxa"/>
            <w:tcBorders>
              <w:top w:val="single" w:sz="4"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969</w:t>
            </w:r>
          </w:p>
        </w:tc>
        <w:tc>
          <w:tcPr>
            <w:tcW w:w="1418" w:type="dxa"/>
            <w:tcBorders>
              <w:top w:val="single" w:sz="4" w:space="0" w:color="auto"/>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- 4</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ind w:left="176"/>
              <w:rPr>
                <w:rFonts w:ascii="CorpoS" w:hAnsi="CorpoS"/>
                <w:sz w:val="22"/>
                <w:szCs w:val="22"/>
                <w:lang w:val="de-DE"/>
              </w:rPr>
            </w:pPr>
            <w:r w:rsidRPr="000E11FC">
              <w:rPr>
                <w:rFonts w:ascii="CorpoS" w:hAnsi="CorpoS"/>
                <w:sz w:val="22"/>
                <w:szCs w:val="22"/>
                <w:lang w:val="de-DE"/>
              </w:rPr>
              <w:t>Eigenkapital</w:t>
            </w:r>
          </w:p>
        </w:tc>
        <w:tc>
          <w:tcPr>
            <w:tcW w:w="1134" w:type="dxa"/>
            <w:tcBorders>
              <w:left w:val="single" w:sz="4" w:space="0" w:color="auto"/>
              <w:right w:val="single" w:sz="4" w:space="0" w:color="auto"/>
            </w:tcBorders>
          </w:tcPr>
          <w:p w:rsidR="000E11FC" w:rsidRPr="000E11FC" w:rsidRDefault="000E11FC" w:rsidP="000E11FC">
            <w:pPr>
              <w:jc w:val="right"/>
              <w:rPr>
                <w:rFonts w:ascii="CorpoS" w:hAnsi="CorpoS"/>
                <w:sz w:val="22"/>
                <w:szCs w:val="22"/>
                <w:lang w:val="de-DE"/>
              </w:rPr>
            </w:pPr>
          </w:p>
        </w:tc>
        <w:tc>
          <w:tcPr>
            <w:tcW w:w="1134" w:type="dxa"/>
            <w:tcBorders>
              <w:left w:val="single" w:sz="4" w:space="0" w:color="auto"/>
              <w:right w:val="single" w:sz="18" w:space="0" w:color="auto"/>
            </w:tcBorders>
          </w:tcPr>
          <w:p w:rsidR="000E11FC" w:rsidRPr="000E11FC" w:rsidRDefault="000E11FC" w:rsidP="000E11F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2.635</w:t>
            </w:r>
          </w:p>
        </w:tc>
        <w:tc>
          <w:tcPr>
            <w:tcW w:w="1276" w:type="dxa"/>
            <w:tcBorders>
              <w:top w:val="single" w:sz="4"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2.727</w:t>
            </w:r>
          </w:p>
        </w:tc>
        <w:tc>
          <w:tcPr>
            <w:tcW w:w="1418" w:type="dxa"/>
            <w:tcBorders>
              <w:top w:val="single" w:sz="4" w:space="0" w:color="auto"/>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+ 4</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ind w:left="176"/>
              <w:rPr>
                <w:rFonts w:ascii="CorpoS" w:hAnsi="CorpoS"/>
                <w:sz w:val="22"/>
                <w:szCs w:val="22"/>
                <w:lang w:val="de-DE"/>
              </w:rPr>
            </w:pPr>
            <w:r w:rsidRPr="000E11FC">
              <w:rPr>
                <w:rFonts w:ascii="CorpoS" w:hAnsi="CorpoS"/>
                <w:sz w:val="22"/>
                <w:szCs w:val="22"/>
                <w:lang w:val="de-DE"/>
              </w:rPr>
              <w:t>Netto-Finanzverschuldung</w:t>
            </w:r>
          </w:p>
        </w:tc>
        <w:tc>
          <w:tcPr>
            <w:tcW w:w="1134" w:type="dxa"/>
            <w:tcBorders>
              <w:left w:val="single" w:sz="4" w:space="0" w:color="auto"/>
              <w:right w:val="single" w:sz="4" w:space="0" w:color="auto"/>
            </w:tcBorders>
          </w:tcPr>
          <w:p w:rsidR="000E11FC" w:rsidRPr="000E11FC" w:rsidRDefault="000E11FC" w:rsidP="000E11FC">
            <w:pPr>
              <w:jc w:val="right"/>
              <w:rPr>
                <w:rFonts w:ascii="CorpoS" w:hAnsi="CorpoS"/>
                <w:sz w:val="22"/>
                <w:szCs w:val="22"/>
                <w:lang w:val="de-DE"/>
              </w:rPr>
            </w:pPr>
          </w:p>
        </w:tc>
        <w:tc>
          <w:tcPr>
            <w:tcW w:w="1134" w:type="dxa"/>
            <w:tcBorders>
              <w:left w:val="single" w:sz="4" w:space="0" w:color="auto"/>
              <w:right w:val="single" w:sz="18" w:space="0" w:color="auto"/>
            </w:tcBorders>
          </w:tcPr>
          <w:p w:rsidR="000E11FC" w:rsidRPr="000E11FC" w:rsidRDefault="000E11FC" w:rsidP="000E11F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781</w:t>
            </w:r>
          </w:p>
        </w:tc>
        <w:tc>
          <w:tcPr>
            <w:tcW w:w="1276" w:type="dxa"/>
            <w:tcBorders>
              <w:top w:val="single" w:sz="4"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674</w:t>
            </w:r>
          </w:p>
        </w:tc>
        <w:tc>
          <w:tcPr>
            <w:tcW w:w="1418" w:type="dxa"/>
            <w:tcBorders>
              <w:top w:val="single" w:sz="4" w:space="0" w:color="auto"/>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- 14</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ind w:left="176"/>
              <w:rPr>
                <w:rFonts w:ascii="CorpoS" w:hAnsi="CorpoS"/>
                <w:sz w:val="22"/>
                <w:szCs w:val="22"/>
                <w:lang w:val="de-DE"/>
              </w:rPr>
            </w:pPr>
            <w:r w:rsidRPr="000E11FC">
              <w:rPr>
                <w:rFonts w:ascii="CorpoS" w:hAnsi="CorpoS"/>
                <w:sz w:val="22"/>
                <w:szCs w:val="22"/>
                <w:lang w:val="de-DE"/>
              </w:rPr>
              <w:t>Bilanzsumme</w:t>
            </w:r>
          </w:p>
        </w:tc>
        <w:tc>
          <w:tcPr>
            <w:tcW w:w="1134" w:type="dxa"/>
            <w:tcBorders>
              <w:left w:val="single" w:sz="4" w:space="0" w:color="auto"/>
              <w:right w:val="single" w:sz="4" w:space="0" w:color="auto"/>
            </w:tcBorders>
          </w:tcPr>
          <w:p w:rsidR="000E11FC" w:rsidRPr="000E11FC" w:rsidRDefault="000E11FC" w:rsidP="000E11FC">
            <w:pPr>
              <w:jc w:val="right"/>
              <w:rPr>
                <w:rFonts w:ascii="CorpoS" w:hAnsi="CorpoS"/>
                <w:sz w:val="22"/>
                <w:szCs w:val="22"/>
                <w:lang w:val="de-DE"/>
              </w:rPr>
            </w:pPr>
          </w:p>
        </w:tc>
        <w:tc>
          <w:tcPr>
            <w:tcW w:w="1134" w:type="dxa"/>
            <w:tcBorders>
              <w:left w:val="single" w:sz="4" w:space="0" w:color="auto"/>
              <w:right w:val="single" w:sz="18" w:space="0" w:color="auto"/>
            </w:tcBorders>
          </w:tcPr>
          <w:p w:rsidR="000E11FC" w:rsidRPr="000E11FC" w:rsidRDefault="000E11FC" w:rsidP="000E11F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8.104</w:t>
            </w:r>
          </w:p>
        </w:tc>
        <w:tc>
          <w:tcPr>
            <w:tcW w:w="1276" w:type="dxa"/>
            <w:tcBorders>
              <w:top w:val="single" w:sz="4"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8.070</w:t>
            </w:r>
          </w:p>
        </w:tc>
        <w:tc>
          <w:tcPr>
            <w:tcW w:w="1418" w:type="dxa"/>
            <w:tcBorders>
              <w:top w:val="single" w:sz="4" w:space="0" w:color="auto"/>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- 0</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rPr>
          <w:trHeight w:val="50"/>
        </w:trPr>
        <w:tc>
          <w:tcPr>
            <w:tcW w:w="3969" w:type="dxa"/>
            <w:tcBorders>
              <w:right w:val="single" w:sz="4" w:space="0" w:color="auto"/>
            </w:tcBorders>
            <w:shd w:val="clear" w:color="auto" w:fill="auto"/>
          </w:tcPr>
          <w:p w:rsidR="002C2460" w:rsidRPr="000E11FC"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0E11FC"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0E11FC"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0E11FC"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2C2460" w:rsidRPr="000E11FC" w:rsidRDefault="002C2460" w:rsidP="0012604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2C2460" w:rsidRPr="000E11FC" w:rsidRDefault="00105968" w:rsidP="00126044">
            <w:pPr>
              <w:ind w:firstLineChars="100" w:firstLine="80"/>
              <w:jc w:val="right"/>
              <w:rPr>
                <w:rFonts w:ascii="CorpoS" w:hAnsi="CorpoS" w:cs="Arial"/>
                <w:sz w:val="8"/>
                <w:szCs w:val="8"/>
              </w:rPr>
            </w:pPr>
            <w:r w:rsidRPr="000E11FC">
              <w:rPr>
                <w:rFonts w:ascii="CorpoS" w:hAnsi="CorpoS" w:cs="Arial"/>
                <w:sz w:val="8"/>
                <w:szCs w:val="8"/>
              </w:rPr>
              <w:t xml:space="preserve"> </w:t>
            </w:r>
            <w:r w:rsidR="002C2460" w:rsidRPr="000E11FC">
              <w:rPr>
                <w:rFonts w:ascii="CorpoS" w:hAnsi="CorpoS" w:cs="Arial"/>
                <w:sz w:val="8"/>
                <w:szCs w:val="8"/>
              </w:rPr>
              <w:t xml:space="preserve"> </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b/>
                <w:sz w:val="22"/>
                <w:szCs w:val="22"/>
                <w:lang w:val="de-DE"/>
              </w:rPr>
            </w:pPr>
            <w:r w:rsidRPr="000E11FC">
              <w:rPr>
                <w:rFonts w:ascii="CorpoS" w:hAnsi="CorpoS"/>
                <w:b/>
                <w:sz w:val="22"/>
                <w:szCs w:val="22"/>
                <w:lang w:val="de-DE"/>
              </w:rPr>
              <w:t>Auftragsbestand</w:t>
            </w:r>
          </w:p>
        </w:tc>
        <w:tc>
          <w:tcPr>
            <w:tcW w:w="1134" w:type="dxa"/>
            <w:tcBorders>
              <w:left w:val="single" w:sz="4" w:space="0" w:color="auto"/>
              <w:right w:val="single" w:sz="4" w:space="0" w:color="auto"/>
            </w:tcBorders>
          </w:tcPr>
          <w:p w:rsidR="000E11FC" w:rsidRPr="000E11FC" w:rsidRDefault="000E11FC" w:rsidP="000E11FC">
            <w:pPr>
              <w:jc w:val="right"/>
              <w:rPr>
                <w:rFonts w:ascii="CorpoS" w:hAnsi="CorpoS"/>
                <w:sz w:val="22"/>
                <w:szCs w:val="22"/>
                <w:lang w:val="de-DE"/>
              </w:rPr>
            </w:pPr>
          </w:p>
        </w:tc>
        <w:tc>
          <w:tcPr>
            <w:tcW w:w="1134" w:type="dxa"/>
            <w:tcBorders>
              <w:left w:val="single" w:sz="4" w:space="0" w:color="auto"/>
              <w:right w:val="single" w:sz="18" w:space="0" w:color="auto"/>
            </w:tcBorders>
          </w:tcPr>
          <w:p w:rsidR="000E11FC" w:rsidRPr="000E11FC" w:rsidRDefault="000E11FC" w:rsidP="000E11FC">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lang w:val="de-DE" w:eastAsia="zh-CN"/>
              </w:rPr>
            </w:pPr>
            <w:r w:rsidRPr="000E11FC">
              <w:rPr>
                <w:rFonts w:ascii="CorpoS" w:hAnsi="CorpoS" w:cs="Arial"/>
                <w:sz w:val="22"/>
                <w:szCs w:val="22"/>
              </w:rPr>
              <w:t>18.608</w:t>
            </w:r>
          </w:p>
        </w:tc>
        <w:tc>
          <w:tcPr>
            <w:tcW w:w="1276" w:type="dxa"/>
            <w:tcBorders>
              <w:top w:val="single" w:sz="4" w:space="0" w:color="auto"/>
              <w:bottom w:val="single" w:sz="4"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20.659</w:t>
            </w:r>
          </w:p>
        </w:tc>
        <w:tc>
          <w:tcPr>
            <w:tcW w:w="1418" w:type="dxa"/>
            <w:tcBorders>
              <w:top w:val="single" w:sz="4" w:space="0" w:color="auto"/>
              <w:bottom w:val="single" w:sz="4"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+ 11</w:t>
            </w:r>
            <w:r>
              <w:rPr>
                <w:rFonts w:ascii="CorpoS" w:hAnsi="CorpoS" w:cs="Arial"/>
                <w:sz w:val="22"/>
                <w:szCs w:val="22"/>
              </w:rPr>
              <w:t xml:space="preserve"> </w:t>
            </w:r>
            <w:r w:rsidRPr="000E11FC">
              <w:rPr>
                <w:rFonts w:ascii="CorpoS" w:hAnsi="CorpoS" w:cs="Arial"/>
                <w:sz w:val="22"/>
                <w:szCs w:val="22"/>
              </w:rPr>
              <w:t>%</w:t>
            </w:r>
          </w:p>
        </w:tc>
      </w:tr>
      <w:tr w:rsidR="000E11FC" w:rsidRPr="000E11FC" w:rsidTr="00126044">
        <w:trPr>
          <w:cantSplit/>
          <w:trHeight w:val="20"/>
        </w:trPr>
        <w:tc>
          <w:tcPr>
            <w:tcW w:w="3969" w:type="dxa"/>
            <w:tcBorders>
              <w:right w:val="single" w:sz="4" w:space="0" w:color="auto"/>
            </w:tcBorders>
            <w:shd w:val="clear" w:color="auto" w:fill="auto"/>
          </w:tcPr>
          <w:p w:rsidR="002C2460" w:rsidRPr="000E11FC"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0E11FC"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0E11FC"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0E11FC" w:rsidRDefault="002C2460" w:rsidP="00126044">
            <w:pPr>
              <w:ind w:firstLineChars="100" w:firstLine="80"/>
              <w:jc w:val="right"/>
              <w:rPr>
                <w:rFonts w:ascii="CorpoS" w:hAnsi="CorpoS" w:cs="Arial"/>
                <w:sz w:val="8"/>
                <w:szCs w:val="8"/>
              </w:rPr>
            </w:pPr>
            <w:r w:rsidRPr="000E11FC">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2C2460" w:rsidRPr="000E11FC" w:rsidRDefault="002C2460" w:rsidP="00126044">
            <w:pPr>
              <w:ind w:firstLineChars="100" w:firstLine="80"/>
              <w:jc w:val="right"/>
              <w:rPr>
                <w:rFonts w:ascii="CorpoS" w:hAnsi="CorpoS" w:cs="Arial"/>
                <w:sz w:val="8"/>
                <w:szCs w:val="8"/>
              </w:rPr>
            </w:pPr>
            <w:r w:rsidRPr="000E11FC">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2C2460" w:rsidRPr="000E11FC" w:rsidRDefault="002C2460" w:rsidP="00126044">
            <w:pPr>
              <w:ind w:firstLineChars="100" w:firstLine="80"/>
              <w:jc w:val="right"/>
              <w:rPr>
                <w:rFonts w:ascii="CorpoS" w:hAnsi="CorpoS" w:cs="Arial"/>
                <w:sz w:val="8"/>
                <w:szCs w:val="8"/>
              </w:rPr>
            </w:pPr>
            <w:r w:rsidRPr="000E11FC">
              <w:rPr>
                <w:rFonts w:ascii="CorpoS" w:hAnsi="CorpoS" w:cs="Arial"/>
                <w:sz w:val="8"/>
                <w:szCs w:val="8"/>
              </w:rPr>
              <w:t xml:space="preserve">  </w:t>
            </w:r>
          </w:p>
        </w:tc>
      </w:tr>
      <w:tr w:rsidR="000E11FC" w:rsidRPr="000E11FC" w:rsidTr="00126044">
        <w:tc>
          <w:tcPr>
            <w:tcW w:w="3969" w:type="dxa"/>
            <w:tcBorders>
              <w:right w:val="single" w:sz="4" w:space="0" w:color="auto"/>
            </w:tcBorders>
            <w:shd w:val="clear" w:color="auto" w:fill="auto"/>
          </w:tcPr>
          <w:p w:rsidR="000E11FC" w:rsidRPr="000E11FC" w:rsidRDefault="000E11FC" w:rsidP="000E11FC">
            <w:pPr>
              <w:rPr>
                <w:rFonts w:ascii="CorpoS" w:hAnsi="CorpoS"/>
                <w:b/>
                <w:sz w:val="22"/>
                <w:szCs w:val="22"/>
                <w:lang w:val="de-DE"/>
              </w:rPr>
            </w:pPr>
            <w:r w:rsidRPr="000E11FC">
              <w:rPr>
                <w:rFonts w:ascii="CorpoS" w:hAnsi="CorpoS"/>
                <w:b/>
                <w:sz w:val="22"/>
                <w:szCs w:val="22"/>
                <w:lang w:val="de-DE"/>
              </w:rPr>
              <w:t>Mitarbeiter</w:t>
            </w:r>
          </w:p>
        </w:tc>
        <w:tc>
          <w:tcPr>
            <w:tcW w:w="1134" w:type="dxa"/>
            <w:tcBorders>
              <w:left w:val="single" w:sz="4" w:space="0" w:color="auto"/>
              <w:right w:val="single" w:sz="4" w:space="0" w:color="auto"/>
            </w:tcBorders>
          </w:tcPr>
          <w:p w:rsidR="000E11FC" w:rsidRPr="000E11FC" w:rsidRDefault="000E11FC" w:rsidP="000E11FC">
            <w:pPr>
              <w:jc w:val="right"/>
              <w:rPr>
                <w:rFonts w:ascii="CorpoS" w:hAnsi="CorpoS"/>
                <w:sz w:val="22"/>
                <w:szCs w:val="22"/>
                <w:lang w:val="de-DE"/>
              </w:rPr>
            </w:pPr>
          </w:p>
        </w:tc>
        <w:tc>
          <w:tcPr>
            <w:tcW w:w="1134" w:type="dxa"/>
            <w:tcBorders>
              <w:left w:val="single" w:sz="4" w:space="0" w:color="auto"/>
              <w:right w:val="single" w:sz="18" w:space="0" w:color="auto"/>
            </w:tcBorders>
          </w:tcPr>
          <w:p w:rsidR="000E11FC" w:rsidRPr="000E11FC" w:rsidRDefault="000E11FC" w:rsidP="000E11FC">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lang w:val="de-DE" w:eastAsia="zh-CN"/>
              </w:rPr>
            </w:pPr>
            <w:r w:rsidRPr="000E11FC">
              <w:rPr>
                <w:rFonts w:ascii="CorpoS" w:hAnsi="CorpoS" w:cs="Arial"/>
                <w:sz w:val="22"/>
                <w:szCs w:val="22"/>
              </w:rPr>
              <w:t>10.313</w:t>
            </w:r>
          </w:p>
        </w:tc>
        <w:tc>
          <w:tcPr>
            <w:tcW w:w="1276" w:type="dxa"/>
            <w:tcBorders>
              <w:top w:val="single" w:sz="4" w:space="0" w:color="auto"/>
              <w:bottom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10.298</w:t>
            </w:r>
          </w:p>
        </w:tc>
        <w:tc>
          <w:tcPr>
            <w:tcW w:w="1418" w:type="dxa"/>
            <w:tcBorders>
              <w:top w:val="single" w:sz="4" w:space="0" w:color="auto"/>
              <w:bottom w:val="single" w:sz="18" w:space="0" w:color="auto"/>
              <w:right w:val="single" w:sz="18" w:space="0" w:color="auto"/>
            </w:tcBorders>
            <w:shd w:val="clear" w:color="auto" w:fill="auto"/>
            <w:vAlign w:val="center"/>
          </w:tcPr>
          <w:p w:rsidR="000E11FC" w:rsidRPr="000E11FC" w:rsidRDefault="000E11FC" w:rsidP="000E11FC">
            <w:pPr>
              <w:ind w:firstLineChars="100" w:firstLine="220"/>
              <w:jc w:val="right"/>
              <w:rPr>
                <w:rFonts w:ascii="CorpoS" w:hAnsi="CorpoS" w:cs="Arial"/>
                <w:sz w:val="22"/>
                <w:szCs w:val="22"/>
              </w:rPr>
            </w:pPr>
            <w:r w:rsidRPr="000E11FC">
              <w:rPr>
                <w:rFonts w:ascii="CorpoS" w:hAnsi="CorpoS" w:cs="Arial"/>
                <w:sz w:val="22"/>
                <w:szCs w:val="22"/>
              </w:rPr>
              <w:t>- 0</w:t>
            </w:r>
            <w:r>
              <w:rPr>
                <w:rFonts w:ascii="CorpoS" w:hAnsi="CorpoS" w:cs="Arial"/>
                <w:sz w:val="22"/>
                <w:szCs w:val="22"/>
              </w:rPr>
              <w:t xml:space="preserve"> </w:t>
            </w:r>
            <w:r w:rsidRPr="000E11FC">
              <w:rPr>
                <w:rFonts w:ascii="CorpoS" w:hAnsi="CorpoS" w:cs="Arial"/>
                <w:sz w:val="22"/>
                <w:szCs w:val="22"/>
              </w:rPr>
              <w:t>%</w:t>
            </w:r>
          </w:p>
        </w:tc>
      </w:tr>
    </w:tbl>
    <w:p w:rsidR="00E957DB" w:rsidRDefault="00E957DB" w:rsidP="0030178E">
      <w:pPr>
        <w:ind w:right="1984"/>
        <w:jc w:val="both"/>
        <w:rPr>
          <w:rFonts w:ascii="CorpoS" w:hAnsi="CorpoS"/>
          <w:b/>
          <w:sz w:val="20"/>
          <w:u w:val="single"/>
          <w:lang w:val="de-DE"/>
        </w:rPr>
      </w:pPr>
    </w:p>
    <w:p w:rsidR="00E957DB" w:rsidRDefault="00E957DB" w:rsidP="0030178E">
      <w:pPr>
        <w:ind w:right="1984"/>
        <w:jc w:val="both"/>
        <w:rPr>
          <w:rFonts w:ascii="CorpoS" w:hAnsi="CorpoS"/>
          <w:b/>
          <w:sz w:val="20"/>
          <w:u w:val="single"/>
          <w:lang w:val="de-DE"/>
        </w:rPr>
      </w:pPr>
    </w:p>
    <w:p w:rsidR="00E957DB" w:rsidRDefault="00E957DB" w:rsidP="00E957DB">
      <w:pPr>
        <w:ind w:right="1984"/>
        <w:jc w:val="both"/>
        <w:rPr>
          <w:rFonts w:ascii="CorpoS" w:hAnsi="CorpoS"/>
          <w:b/>
          <w:sz w:val="22"/>
          <w:szCs w:val="22"/>
          <w:lang w:val="de-DE"/>
        </w:rPr>
      </w:pPr>
      <w:r w:rsidRPr="006D238D">
        <w:rPr>
          <w:rFonts w:ascii="CorpoS" w:hAnsi="CorpoS"/>
          <w:b/>
          <w:sz w:val="22"/>
          <w:szCs w:val="22"/>
          <w:lang w:val="de-DE"/>
        </w:rPr>
        <w:t>Ausblick 2021</w:t>
      </w:r>
    </w:p>
    <w:p w:rsidR="00E957DB" w:rsidRDefault="00E957DB" w:rsidP="00E957DB">
      <w:pPr>
        <w:ind w:right="1984"/>
        <w:jc w:val="both"/>
        <w:rPr>
          <w:rFonts w:ascii="CorpoS" w:hAnsi="CorpoS"/>
          <w:b/>
          <w:sz w:val="22"/>
          <w:szCs w:val="22"/>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089"/>
        <w:gridCol w:w="3119"/>
      </w:tblGrid>
      <w:tr w:rsidR="00E957DB" w:rsidRPr="005A7339" w:rsidTr="00DD69B6">
        <w:tc>
          <w:tcPr>
            <w:tcW w:w="3823" w:type="dxa"/>
            <w:shd w:val="clear" w:color="auto" w:fill="auto"/>
          </w:tcPr>
          <w:p w:rsidR="00E957DB" w:rsidRPr="005A7339" w:rsidRDefault="00E957DB" w:rsidP="00DD69B6">
            <w:pPr>
              <w:ind w:right="1984"/>
              <w:jc w:val="both"/>
              <w:rPr>
                <w:rFonts w:ascii="CorpoS" w:hAnsi="CorpoS"/>
                <w:b/>
                <w:sz w:val="22"/>
                <w:szCs w:val="22"/>
                <w:lang w:val="de-DE"/>
              </w:rPr>
            </w:pPr>
          </w:p>
        </w:tc>
        <w:tc>
          <w:tcPr>
            <w:tcW w:w="3089" w:type="dxa"/>
            <w:shd w:val="clear" w:color="auto" w:fill="auto"/>
          </w:tcPr>
          <w:p w:rsidR="00E957DB" w:rsidRPr="005A7339" w:rsidRDefault="00E957DB" w:rsidP="00DD69B6">
            <w:pPr>
              <w:ind w:right="25"/>
              <w:jc w:val="both"/>
              <w:rPr>
                <w:rFonts w:ascii="CorpoS" w:hAnsi="CorpoS"/>
                <w:b/>
                <w:sz w:val="22"/>
                <w:szCs w:val="22"/>
                <w:lang w:val="de-DE"/>
              </w:rPr>
            </w:pPr>
            <w:r w:rsidRPr="005A7339">
              <w:rPr>
                <w:rFonts w:ascii="CorpoS" w:hAnsi="CorpoS"/>
                <w:b/>
                <w:sz w:val="22"/>
                <w:szCs w:val="22"/>
                <w:lang w:val="de-DE"/>
              </w:rPr>
              <w:t>alt</w:t>
            </w:r>
          </w:p>
        </w:tc>
        <w:tc>
          <w:tcPr>
            <w:tcW w:w="3119" w:type="dxa"/>
            <w:shd w:val="clear" w:color="auto" w:fill="auto"/>
          </w:tcPr>
          <w:p w:rsidR="00E957DB" w:rsidRPr="005A7339" w:rsidRDefault="00E957DB" w:rsidP="00DD69B6">
            <w:pPr>
              <w:ind w:right="25"/>
              <w:jc w:val="both"/>
              <w:rPr>
                <w:rFonts w:ascii="CorpoS" w:hAnsi="CorpoS"/>
                <w:b/>
                <w:sz w:val="22"/>
                <w:szCs w:val="22"/>
                <w:lang w:val="de-DE"/>
              </w:rPr>
            </w:pPr>
            <w:r w:rsidRPr="005A7339">
              <w:rPr>
                <w:rFonts w:ascii="CorpoS" w:hAnsi="CorpoS"/>
                <w:b/>
                <w:sz w:val="22"/>
                <w:szCs w:val="22"/>
                <w:lang w:val="de-DE"/>
              </w:rPr>
              <w:t>neu</w:t>
            </w:r>
          </w:p>
        </w:tc>
      </w:tr>
      <w:tr w:rsidR="00E957DB" w:rsidRPr="005A7339" w:rsidTr="00DD69B6">
        <w:tc>
          <w:tcPr>
            <w:tcW w:w="3823" w:type="dxa"/>
            <w:shd w:val="clear" w:color="auto" w:fill="auto"/>
          </w:tcPr>
          <w:p w:rsidR="00E957DB" w:rsidRPr="005A7339" w:rsidRDefault="00E957DB" w:rsidP="00E957DB">
            <w:pPr>
              <w:ind w:right="1984"/>
              <w:jc w:val="both"/>
              <w:rPr>
                <w:rFonts w:ascii="CorpoS" w:hAnsi="CorpoS"/>
                <w:b/>
                <w:sz w:val="22"/>
                <w:szCs w:val="22"/>
                <w:lang w:val="de-DE"/>
              </w:rPr>
            </w:pPr>
            <w:r w:rsidRPr="005A7339">
              <w:rPr>
                <w:rFonts w:ascii="CorpoS" w:hAnsi="CorpoS"/>
                <w:b/>
                <w:sz w:val="22"/>
                <w:szCs w:val="22"/>
                <w:lang w:val="de-DE"/>
              </w:rPr>
              <w:t>Umsatz</w:t>
            </w:r>
          </w:p>
        </w:tc>
        <w:tc>
          <w:tcPr>
            <w:tcW w:w="3089" w:type="dxa"/>
            <w:shd w:val="clear" w:color="auto" w:fill="auto"/>
          </w:tcPr>
          <w:p w:rsidR="00E957DB" w:rsidRPr="005A7339" w:rsidRDefault="00E957DB" w:rsidP="00E957DB">
            <w:pPr>
              <w:ind w:right="25"/>
              <w:jc w:val="both"/>
              <w:rPr>
                <w:rFonts w:ascii="CorpoS" w:hAnsi="CorpoS"/>
                <w:sz w:val="22"/>
                <w:szCs w:val="22"/>
                <w:lang w:val="de-DE"/>
              </w:rPr>
            </w:pPr>
            <w:r w:rsidRPr="005A7339">
              <w:rPr>
                <w:rFonts w:ascii="CorpoS" w:hAnsi="CorpoS"/>
                <w:sz w:val="22"/>
                <w:szCs w:val="22"/>
                <w:lang w:val="de-DE"/>
              </w:rPr>
              <w:t>4,3 bis 4,5 Mrd. €</w:t>
            </w:r>
          </w:p>
        </w:tc>
        <w:tc>
          <w:tcPr>
            <w:tcW w:w="3119" w:type="dxa"/>
            <w:shd w:val="clear" w:color="auto" w:fill="auto"/>
          </w:tcPr>
          <w:p w:rsidR="00E957DB" w:rsidRPr="005A7339" w:rsidRDefault="00E957DB" w:rsidP="00E957DB">
            <w:pPr>
              <w:ind w:right="25"/>
              <w:jc w:val="both"/>
              <w:rPr>
                <w:rFonts w:ascii="CorpoS" w:hAnsi="CorpoS"/>
                <w:sz w:val="22"/>
                <w:szCs w:val="22"/>
                <w:lang w:val="de-DE"/>
              </w:rPr>
            </w:pPr>
            <w:r w:rsidRPr="005A7339">
              <w:rPr>
                <w:rFonts w:ascii="CorpoS" w:hAnsi="CorpoS"/>
                <w:sz w:val="22"/>
                <w:szCs w:val="22"/>
                <w:lang w:val="de-DE"/>
              </w:rPr>
              <w:t>4,3 bis 4,</w:t>
            </w:r>
            <w:r>
              <w:rPr>
                <w:rFonts w:ascii="CorpoS" w:hAnsi="CorpoS"/>
                <w:sz w:val="22"/>
                <w:szCs w:val="22"/>
                <w:lang w:val="de-DE"/>
              </w:rPr>
              <w:t>4</w:t>
            </w:r>
            <w:r w:rsidRPr="005A7339">
              <w:rPr>
                <w:rFonts w:ascii="CorpoS" w:hAnsi="CorpoS"/>
                <w:sz w:val="22"/>
                <w:szCs w:val="22"/>
                <w:lang w:val="de-DE"/>
              </w:rPr>
              <w:t xml:space="preserve"> Mrd. €</w:t>
            </w:r>
          </w:p>
        </w:tc>
      </w:tr>
      <w:tr w:rsidR="00E957DB" w:rsidRPr="005A7339" w:rsidTr="00DD69B6">
        <w:tc>
          <w:tcPr>
            <w:tcW w:w="3823" w:type="dxa"/>
            <w:shd w:val="clear" w:color="auto" w:fill="auto"/>
          </w:tcPr>
          <w:p w:rsidR="00E957DB" w:rsidRPr="005A7339" w:rsidRDefault="00E957DB" w:rsidP="00E957DB">
            <w:pPr>
              <w:ind w:right="30"/>
              <w:jc w:val="both"/>
              <w:rPr>
                <w:rFonts w:ascii="CorpoS" w:hAnsi="CorpoS"/>
                <w:i/>
                <w:sz w:val="22"/>
                <w:szCs w:val="22"/>
                <w:lang w:val="de-DE"/>
              </w:rPr>
            </w:pPr>
            <w:r w:rsidRPr="005A7339">
              <w:rPr>
                <w:rFonts w:ascii="CorpoS" w:hAnsi="CorpoS"/>
                <w:i/>
                <w:sz w:val="22"/>
                <w:szCs w:val="22"/>
                <w:lang w:val="de-DE"/>
              </w:rPr>
              <w:t>dabei: organische Umsatzentwicklung</w:t>
            </w:r>
          </w:p>
        </w:tc>
        <w:tc>
          <w:tcPr>
            <w:tcW w:w="3089" w:type="dxa"/>
            <w:shd w:val="clear" w:color="auto" w:fill="auto"/>
          </w:tcPr>
          <w:p w:rsidR="00E957DB" w:rsidRPr="005A7339" w:rsidRDefault="00E957DB" w:rsidP="00E957DB">
            <w:pPr>
              <w:ind w:right="1984"/>
              <w:jc w:val="both"/>
              <w:rPr>
                <w:rFonts w:ascii="CorpoS" w:hAnsi="CorpoS"/>
                <w:i/>
                <w:sz w:val="22"/>
                <w:szCs w:val="22"/>
                <w:lang w:val="de-DE"/>
              </w:rPr>
            </w:pPr>
          </w:p>
        </w:tc>
        <w:tc>
          <w:tcPr>
            <w:tcW w:w="3119" w:type="dxa"/>
            <w:shd w:val="clear" w:color="auto" w:fill="auto"/>
          </w:tcPr>
          <w:p w:rsidR="00E957DB" w:rsidRPr="005A7339" w:rsidRDefault="00E957DB" w:rsidP="00E957DB">
            <w:pPr>
              <w:ind w:right="1984"/>
              <w:jc w:val="both"/>
              <w:rPr>
                <w:rFonts w:ascii="CorpoS" w:hAnsi="CorpoS"/>
                <w:i/>
                <w:sz w:val="22"/>
                <w:szCs w:val="22"/>
                <w:lang w:val="de-DE"/>
              </w:rPr>
            </w:pPr>
          </w:p>
        </w:tc>
      </w:tr>
      <w:tr w:rsidR="00E957DB" w:rsidRPr="0093506E" w:rsidTr="00DD69B6">
        <w:tc>
          <w:tcPr>
            <w:tcW w:w="3823" w:type="dxa"/>
            <w:shd w:val="clear" w:color="auto" w:fill="auto"/>
          </w:tcPr>
          <w:p w:rsidR="00E957DB" w:rsidRPr="005A7339" w:rsidRDefault="00E957DB" w:rsidP="00E957DB">
            <w:pPr>
              <w:tabs>
                <w:tab w:val="left" w:pos="2443"/>
              </w:tabs>
              <w:ind w:right="314"/>
              <w:jc w:val="both"/>
              <w:rPr>
                <w:rFonts w:ascii="CorpoS" w:hAnsi="CorpoS"/>
                <w:i/>
                <w:sz w:val="22"/>
                <w:szCs w:val="22"/>
                <w:lang w:val="de-DE"/>
              </w:rPr>
            </w:pPr>
            <w:r w:rsidRPr="005A7339">
              <w:rPr>
                <w:rFonts w:ascii="CorpoS" w:hAnsi="CorpoS"/>
                <w:i/>
                <w:sz w:val="22"/>
                <w:szCs w:val="22"/>
                <w:lang w:val="de-DE"/>
              </w:rPr>
              <w:t xml:space="preserve">       militärisches Triebwerksgeschäft</w:t>
            </w:r>
          </w:p>
        </w:tc>
        <w:tc>
          <w:tcPr>
            <w:tcW w:w="3089" w:type="dxa"/>
            <w:shd w:val="clear" w:color="auto" w:fill="auto"/>
          </w:tcPr>
          <w:p w:rsidR="00E957DB" w:rsidRPr="005A7339" w:rsidRDefault="00E957DB" w:rsidP="00E957DB">
            <w:pPr>
              <w:ind w:right="29"/>
              <w:jc w:val="both"/>
              <w:rPr>
                <w:rFonts w:ascii="CorpoS" w:hAnsi="CorpoS"/>
                <w:i/>
                <w:sz w:val="22"/>
                <w:szCs w:val="22"/>
                <w:lang w:val="de-DE"/>
              </w:rPr>
            </w:pPr>
            <w:r w:rsidRPr="005A7339">
              <w:rPr>
                <w:rFonts w:ascii="CorpoS" w:hAnsi="CorpoS"/>
                <w:i/>
                <w:sz w:val="22"/>
                <w:szCs w:val="22"/>
                <w:lang w:val="de-DE"/>
              </w:rPr>
              <w:t>Anstieg im mittleren bis hohen einstelligen Prozentbereich</w:t>
            </w:r>
          </w:p>
        </w:tc>
        <w:tc>
          <w:tcPr>
            <w:tcW w:w="3119" w:type="dxa"/>
            <w:shd w:val="clear" w:color="auto" w:fill="auto"/>
          </w:tcPr>
          <w:p w:rsidR="00E957DB" w:rsidRPr="005A7339" w:rsidRDefault="00E957DB" w:rsidP="00E957DB">
            <w:pPr>
              <w:ind w:right="29"/>
              <w:jc w:val="both"/>
              <w:rPr>
                <w:rFonts w:ascii="CorpoS" w:hAnsi="CorpoS"/>
                <w:i/>
                <w:sz w:val="22"/>
                <w:szCs w:val="22"/>
                <w:lang w:val="de-DE"/>
              </w:rPr>
            </w:pPr>
            <w:r>
              <w:rPr>
                <w:rFonts w:ascii="CorpoS" w:hAnsi="CorpoS"/>
                <w:i/>
                <w:sz w:val="22"/>
                <w:szCs w:val="22"/>
                <w:lang w:val="de-DE"/>
              </w:rPr>
              <w:t>Anstieg im mittleren</w:t>
            </w:r>
            <w:r w:rsidRPr="005A7339">
              <w:rPr>
                <w:rFonts w:ascii="CorpoS" w:hAnsi="CorpoS"/>
                <w:i/>
                <w:sz w:val="22"/>
                <w:szCs w:val="22"/>
                <w:lang w:val="de-DE"/>
              </w:rPr>
              <w:t xml:space="preserve"> einstelligen Prozentbereich</w:t>
            </w:r>
          </w:p>
        </w:tc>
      </w:tr>
      <w:tr w:rsidR="00E957DB" w:rsidRPr="0093506E" w:rsidTr="00DD69B6">
        <w:tc>
          <w:tcPr>
            <w:tcW w:w="3823" w:type="dxa"/>
            <w:shd w:val="clear" w:color="auto" w:fill="auto"/>
          </w:tcPr>
          <w:p w:rsidR="00E957DB" w:rsidRPr="005A7339" w:rsidRDefault="00E957DB" w:rsidP="00E957DB">
            <w:pPr>
              <w:ind w:right="320"/>
              <w:jc w:val="both"/>
              <w:rPr>
                <w:rFonts w:ascii="CorpoS" w:hAnsi="CorpoS"/>
                <w:i/>
                <w:sz w:val="22"/>
                <w:szCs w:val="22"/>
                <w:lang w:val="de-DE"/>
              </w:rPr>
            </w:pPr>
            <w:r w:rsidRPr="005A7339">
              <w:rPr>
                <w:rFonts w:ascii="CorpoS" w:hAnsi="CorpoS"/>
                <w:i/>
                <w:sz w:val="22"/>
                <w:szCs w:val="22"/>
                <w:lang w:val="de-DE"/>
              </w:rPr>
              <w:t xml:space="preserve">       ziviles Seriengeschäft</w:t>
            </w:r>
          </w:p>
        </w:tc>
        <w:tc>
          <w:tcPr>
            <w:tcW w:w="3089" w:type="dxa"/>
            <w:shd w:val="clear" w:color="auto" w:fill="auto"/>
          </w:tcPr>
          <w:p w:rsidR="00E957DB" w:rsidRPr="005A7339" w:rsidRDefault="00E957DB" w:rsidP="00E957DB">
            <w:pPr>
              <w:jc w:val="both"/>
              <w:rPr>
                <w:rFonts w:ascii="CorpoS" w:hAnsi="CorpoS"/>
                <w:i/>
                <w:sz w:val="22"/>
                <w:szCs w:val="22"/>
                <w:lang w:val="de-DE"/>
              </w:rPr>
            </w:pPr>
            <w:r w:rsidRPr="005A7339">
              <w:rPr>
                <w:rFonts w:ascii="CorpoS" w:hAnsi="CorpoS"/>
                <w:i/>
                <w:sz w:val="22"/>
                <w:szCs w:val="22"/>
                <w:lang w:val="de-DE"/>
              </w:rPr>
              <w:t>Anstieg im niedrigen bis mittleren einstelligen Prozentbereich</w:t>
            </w:r>
          </w:p>
        </w:tc>
        <w:tc>
          <w:tcPr>
            <w:tcW w:w="3119" w:type="dxa"/>
            <w:shd w:val="clear" w:color="auto" w:fill="auto"/>
          </w:tcPr>
          <w:p w:rsidR="00E957DB" w:rsidRPr="005A7339" w:rsidRDefault="00E957DB" w:rsidP="00E957DB">
            <w:pPr>
              <w:jc w:val="both"/>
              <w:rPr>
                <w:rFonts w:ascii="CorpoS" w:hAnsi="CorpoS"/>
                <w:i/>
                <w:sz w:val="22"/>
                <w:szCs w:val="22"/>
                <w:lang w:val="de-DE"/>
              </w:rPr>
            </w:pPr>
            <w:r w:rsidRPr="005A7339">
              <w:rPr>
                <w:rFonts w:ascii="CorpoS" w:hAnsi="CorpoS"/>
                <w:i/>
                <w:sz w:val="22"/>
                <w:szCs w:val="22"/>
                <w:lang w:val="de-DE"/>
              </w:rPr>
              <w:t>Anstieg im niedrigen bis mittleren einstelligen Prozentbereich</w:t>
            </w:r>
          </w:p>
        </w:tc>
      </w:tr>
      <w:tr w:rsidR="00E957DB" w:rsidRPr="0093506E" w:rsidTr="00DD69B6">
        <w:tc>
          <w:tcPr>
            <w:tcW w:w="3823" w:type="dxa"/>
            <w:shd w:val="clear" w:color="auto" w:fill="auto"/>
          </w:tcPr>
          <w:p w:rsidR="00E957DB" w:rsidRPr="005A7339" w:rsidRDefault="00E957DB" w:rsidP="00E957DB">
            <w:pPr>
              <w:ind w:right="34"/>
              <w:jc w:val="both"/>
              <w:rPr>
                <w:rFonts w:ascii="CorpoS" w:hAnsi="CorpoS"/>
                <w:i/>
                <w:sz w:val="22"/>
                <w:szCs w:val="22"/>
                <w:lang w:val="de-DE"/>
              </w:rPr>
            </w:pPr>
            <w:r w:rsidRPr="005A7339">
              <w:rPr>
                <w:rFonts w:ascii="CorpoS" w:hAnsi="CorpoS"/>
                <w:i/>
                <w:sz w:val="22"/>
                <w:szCs w:val="22"/>
                <w:lang w:val="de-DE"/>
              </w:rPr>
              <w:t xml:space="preserve">       ziviles Ersatzteilgeschäft</w:t>
            </w:r>
          </w:p>
        </w:tc>
        <w:tc>
          <w:tcPr>
            <w:tcW w:w="3089" w:type="dxa"/>
            <w:shd w:val="clear" w:color="auto" w:fill="auto"/>
          </w:tcPr>
          <w:p w:rsidR="00E957DB" w:rsidRPr="005A7339" w:rsidRDefault="00E957DB" w:rsidP="00E957DB">
            <w:pPr>
              <w:jc w:val="both"/>
              <w:rPr>
                <w:rFonts w:ascii="CorpoS" w:hAnsi="CorpoS"/>
                <w:i/>
                <w:sz w:val="22"/>
                <w:szCs w:val="22"/>
                <w:lang w:val="de-DE"/>
              </w:rPr>
            </w:pPr>
            <w:r w:rsidRPr="005A7339">
              <w:rPr>
                <w:rFonts w:ascii="CorpoS" w:hAnsi="CorpoS"/>
                <w:i/>
                <w:sz w:val="22"/>
                <w:szCs w:val="22"/>
                <w:lang w:val="de-DE"/>
              </w:rPr>
              <w:t>Anstieg im niedrigen bis mittleren einstelligen Prozentbereich</w:t>
            </w:r>
          </w:p>
        </w:tc>
        <w:tc>
          <w:tcPr>
            <w:tcW w:w="3119" w:type="dxa"/>
            <w:shd w:val="clear" w:color="auto" w:fill="auto"/>
          </w:tcPr>
          <w:p w:rsidR="00E957DB" w:rsidRPr="005A7339" w:rsidRDefault="00E957DB" w:rsidP="00E957DB">
            <w:pPr>
              <w:jc w:val="both"/>
              <w:rPr>
                <w:rFonts w:ascii="CorpoS" w:hAnsi="CorpoS"/>
                <w:i/>
                <w:sz w:val="22"/>
                <w:szCs w:val="22"/>
                <w:lang w:val="de-DE"/>
              </w:rPr>
            </w:pPr>
            <w:r w:rsidRPr="005A7339">
              <w:rPr>
                <w:rFonts w:ascii="CorpoS" w:hAnsi="CorpoS"/>
                <w:i/>
                <w:sz w:val="22"/>
                <w:szCs w:val="22"/>
                <w:lang w:val="de-DE"/>
              </w:rPr>
              <w:t>Anstieg im niedrigen bis mittleren einstelligen Prozentbereich</w:t>
            </w:r>
          </w:p>
        </w:tc>
      </w:tr>
      <w:tr w:rsidR="00E957DB" w:rsidRPr="0093506E" w:rsidTr="00DD69B6">
        <w:tc>
          <w:tcPr>
            <w:tcW w:w="3823" w:type="dxa"/>
            <w:shd w:val="clear" w:color="auto" w:fill="auto"/>
          </w:tcPr>
          <w:p w:rsidR="00E957DB" w:rsidRPr="005A7339" w:rsidRDefault="00E957DB" w:rsidP="00E957DB">
            <w:pPr>
              <w:ind w:right="603"/>
              <w:jc w:val="both"/>
              <w:rPr>
                <w:rFonts w:ascii="CorpoS" w:hAnsi="CorpoS"/>
                <w:i/>
                <w:sz w:val="22"/>
                <w:szCs w:val="22"/>
                <w:lang w:val="de-DE"/>
              </w:rPr>
            </w:pPr>
            <w:r w:rsidRPr="005A7339">
              <w:rPr>
                <w:rFonts w:ascii="CorpoS" w:hAnsi="CorpoS"/>
                <w:i/>
                <w:sz w:val="22"/>
                <w:szCs w:val="22"/>
                <w:lang w:val="de-DE"/>
              </w:rPr>
              <w:t xml:space="preserve">       zivile Instandhaltung</w:t>
            </w:r>
          </w:p>
        </w:tc>
        <w:tc>
          <w:tcPr>
            <w:tcW w:w="3089" w:type="dxa"/>
            <w:shd w:val="clear" w:color="auto" w:fill="auto"/>
          </w:tcPr>
          <w:p w:rsidR="00E957DB" w:rsidRPr="005A7339" w:rsidRDefault="00E957DB" w:rsidP="00E957DB">
            <w:pPr>
              <w:ind w:right="27"/>
              <w:jc w:val="both"/>
              <w:rPr>
                <w:rFonts w:ascii="CorpoS" w:hAnsi="CorpoS"/>
                <w:i/>
                <w:sz w:val="22"/>
                <w:szCs w:val="22"/>
                <w:lang w:val="de-DE"/>
              </w:rPr>
            </w:pPr>
            <w:r w:rsidRPr="005A7339">
              <w:rPr>
                <w:rFonts w:ascii="CorpoS" w:hAnsi="CorpoS"/>
                <w:i/>
                <w:sz w:val="22"/>
                <w:szCs w:val="22"/>
                <w:lang w:val="de-DE"/>
              </w:rPr>
              <w:t>Anstieg um etwa 15 bis 20 %</w:t>
            </w:r>
          </w:p>
        </w:tc>
        <w:tc>
          <w:tcPr>
            <w:tcW w:w="3119" w:type="dxa"/>
            <w:shd w:val="clear" w:color="auto" w:fill="auto"/>
          </w:tcPr>
          <w:p w:rsidR="00E957DB" w:rsidRPr="005A7339" w:rsidRDefault="00E957DB" w:rsidP="00E968EF">
            <w:pPr>
              <w:ind w:right="27"/>
              <w:jc w:val="both"/>
              <w:rPr>
                <w:rFonts w:ascii="CorpoS" w:hAnsi="CorpoS"/>
                <w:i/>
                <w:sz w:val="22"/>
                <w:szCs w:val="22"/>
                <w:lang w:val="de-DE"/>
              </w:rPr>
            </w:pPr>
            <w:r w:rsidRPr="005A7339">
              <w:rPr>
                <w:rFonts w:ascii="CorpoS" w:hAnsi="CorpoS"/>
                <w:i/>
                <w:sz w:val="22"/>
                <w:szCs w:val="22"/>
                <w:lang w:val="de-DE"/>
              </w:rPr>
              <w:t xml:space="preserve">Anstieg </w:t>
            </w:r>
            <w:r w:rsidR="0049611B">
              <w:rPr>
                <w:rFonts w:ascii="CorpoS" w:hAnsi="CorpoS"/>
                <w:i/>
                <w:sz w:val="22"/>
                <w:szCs w:val="22"/>
                <w:lang w:val="de-DE"/>
              </w:rPr>
              <w:t>im mittleren Zehner-Prozentbereich</w:t>
            </w:r>
          </w:p>
        </w:tc>
      </w:tr>
      <w:tr w:rsidR="00E957DB" w:rsidRPr="00B079EB" w:rsidTr="00DD69B6">
        <w:tc>
          <w:tcPr>
            <w:tcW w:w="3823" w:type="dxa"/>
            <w:shd w:val="clear" w:color="auto" w:fill="auto"/>
          </w:tcPr>
          <w:p w:rsidR="00E957DB" w:rsidRPr="005A7339" w:rsidRDefault="00E957DB" w:rsidP="00E957DB">
            <w:pPr>
              <w:ind w:right="887"/>
              <w:jc w:val="both"/>
              <w:rPr>
                <w:rFonts w:ascii="CorpoS" w:hAnsi="CorpoS"/>
                <w:b/>
                <w:sz w:val="22"/>
                <w:szCs w:val="22"/>
                <w:lang w:val="de-DE"/>
              </w:rPr>
            </w:pPr>
            <w:r w:rsidRPr="005A7339">
              <w:rPr>
                <w:rFonts w:ascii="CorpoS" w:hAnsi="CorpoS"/>
                <w:b/>
                <w:sz w:val="22"/>
                <w:szCs w:val="22"/>
                <w:lang w:val="de-DE"/>
              </w:rPr>
              <w:t>EBIT-Marge (bereinigt)</w:t>
            </w:r>
          </w:p>
        </w:tc>
        <w:tc>
          <w:tcPr>
            <w:tcW w:w="3089" w:type="dxa"/>
            <w:shd w:val="clear" w:color="auto" w:fill="auto"/>
          </w:tcPr>
          <w:p w:rsidR="00E957DB" w:rsidRPr="005A7339" w:rsidRDefault="00E957DB" w:rsidP="00E957DB">
            <w:pPr>
              <w:ind w:right="596"/>
              <w:jc w:val="both"/>
              <w:rPr>
                <w:rFonts w:ascii="CorpoS" w:hAnsi="CorpoS"/>
                <w:sz w:val="22"/>
                <w:szCs w:val="22"/>
                <w:lang w:val="de-DE"/>
              </w:rPr>
            </w:pPr>
            <w:r w:rsidRPr="005A7339">
              <w:rPr>
                <w:rFonts w:ascii="CorpoS" w:hAnsi="CorpoS"/>
                <w:sz w:val="22"/>
                <w:szCs w:val="22"/>
                <w:lang w:val="de-DE"/>
              </w:rPr>
              <w:t>10 bis 10,5 %</w:t>
            </w:r>
          </w:p>
        </w:tc>
        <w:tc>
          <w:tcPr>
            <w:tcW w:w="3119" w:type="dxa"/>
            <w:shd w:val="clear" w:color="auto" w:fill="auto"/>
          </w:tcPr>
          <w:p w:rsidR="00E957DB" w:rsidRPr="005A7339" w:rsidRDefault="00DE6448" w:rsidP="00E968EF">
            <w:pPr>
              <w:ind w:right="596"/>
              <w:jc w:val="both"/>
              <w:rPr>
                <w:rFonts w:ascii="CorpoS" w:hAnsi="CorpoS"/>
                <w:sz w:val="22"/>
                <w:szCs w:val="22"/>
                <w:lang w:val="de-DE"/>
              </w:rPr>
            </w:pPr>
            <w:r>
              <w:rPr>
                <w:rFonts w:cs="Arial"/>
              </w:rPr>
              <w:t>~</w:t>
            </w:r>
            <w:r w:rsidR="00E957DB" w:rsidRPr="005A7339">
              <w:rPr>
                <w:rFonts w:ascii="CorpoS" w:hAnsi="CorpoS"/>
                <w:sz w:val="22"/>
                <w:szCs w:val="22"/>
                <w:lang w:val="de-DE"/>
              </w:rPr>
              <w:t>10,5 %</w:t>
            </w:r>
          </w:p>
        </w:tc>
      </w:tr>
      <w:tr w:rsidR="00E957DB" w:rsidRPr="00B079EB" w:rsidTr="00DD69B6">
        <w:tc>
          <w:tcPr>
            <w:tcW w:w="3823" w:type="dxa"/>
            <w:shd w:val="clear" w:color="auto" w:fill="auto"/>
          </w:tcPr>
          <w:p w:rsidR="00E957DB" w:rsidRPr="005A7339" w:rsidRDefault="00E957DB" w:rsidP="00E957DB">
            <w:pPr>
              <w:ind w:right="1170"/>
              <w:jc w:val="both"/>
              <w:rPr>
                <w:rFonts w:ascii="CorpoS" w:hAnsi="CorpoS"/>
                <w:b/>
                <w:sz w:val="22"/>
                <w:szCs w:val="22"/>
                <w:lang w:val="de-DE"/>
              </w:rPr>
            </w:pPr>
            <w:r w:rsidRPr="005A7339">
              <w:rPr>
                <w:rFonts w:ascii="CorpoS" w:hAnsi="CorpoS"/>
                <w:b/>
                <w:sz w:val="22"/>
                <w:szCs w:val="22"/>
                <w:lang w:val="de-DE"/>
              </w:rPr>
              <w:t>Net Income (bereinigt)</w:t>
            </w:r>
          </w:p>
        </w:tc>
        <w:tc>
          <w:tcPr>
            <w:tcW w:w="3089" w:type="dxa"/>
            <w:shd w:val="clear" w:color="auto" w:fill="auto"/>
          </w:tcPr>
          <w:p w:rsidR="00E957DB" w:rsidRPr="005A7339" w:rsidRDefault="00E957DB" w:rsidP="00E957DB">
            <w:pPr>
              <w:jc w:val="both"/>
              <w:rPr>
                <w:rFonts w:ascii="CorpoS" w:hAnsi="CorpoS"/>
                <w:sz w:val="22"/>
                <w:szCs w:val="22"/>
                <w:lang w:val="de-DE"/>
              </w:rPr>
            </w:pPr>
            <w:r w:rsidRPr="005A7339">
              <w:rPr>
                <w:rFonts w:ascii="CorpoS" w:hAnsi="CorpoS"/>
                <w:sz w:val="22"/>
                <w:szCs w:val="22"/>
                <w:lang w:val="de-DE"/>
              </w:rPr>
              <w:t>Entwicklung analog EBIT (bereinigt)</w:t>
            </w:r>
          </w:p>
        </w:tc>
        <w:tc>
          <w:tcPr>
            <w:tcW w:w="3119" w:type="dxa"/>
            <w:shd w:val="clear" w:color="auto" w:fill="auto"/>
          </w:tcPr>
          <w:p w:rsidR="00E957DB" w:rsidRPr="005A7339" w:rsidRDefault="00E957DB" w:rsidP="00E957DB">
            <w:pPr>
              <w:jc w:val="both"/>
              <w:rPr>
                <w:rFonts w:ascii="CorpoS" w:hAnsi="CorpoS"/>
                <w:sz w:val="22"/>
                <w:szCs w:val="22"/>
                <w:lang w:val="de-DE"/>
              </w:rPr>
            </w:pPr>
            <w:r w:rsidRPr="005A7339">
              <w:rPr>
                <w:rFonts w:ascii="CorpoS" w:hAnsi="CorpoS"/>
                <w:sz w:val="22"/>
                <w:szCs w:val="22"/>
                <w:lang w:val="de-DE"/>
              </w:rPr>
              <w:t>Entwicklung analog EBIT (bereinigt)</w:t>
            </w:r>
          </w:p>
        </w:tc>
      </w:tr>
      <w:tr w:rsidR="00E957DB" w:rsidRPr="00E957DB" w:rsidTr="00DD69B6">
        <w:tc>
          <w:tcPr>
            <w:tcW w:w="3823" w:type="dxa"/>
            <w:shd w:val="clear" w:color="auto" w:fill="auto"/>
          </w:tcPr>
          <w:p w:rsidR="00E957DB" w:rsidRPr="005A7339" w:rsidRDefault="00E957DB" w:rsidP="00E957DB">
            <w:pPr>
              <w:ind w:right="887"/>
              <w:jc w:val="both"/>
              <w:rPr>
                <w:rFonts w:ascii="CorpoS" w:hAnsi="CorpoS"/>
                <w:b/>
                <w:sz w:val="22"/>
                <w:szCs w:val="22"/>
                <w:lang w:val="de-DE"/>
              </w:rPr>
            </w:pPr>
            <w:r w:rsidRPr="005A7339">
              <w:rPr>
                <w:rFonts w:ascii="CorpoS" w:hAnsi="CorpoS"/>
                <w:b/>
                <w:sz w:val="22"/>
                <w:szCs w:val="22"/>
                <w:lang w:val="de-DE"/>
              </w:rPr>
              <w:t xml:space="preserve">Cash </w:t>
            </w:r>
            <w:proofErr w:type="spellStart"/>
            <w:r w:rsidRPr="005A7339">
              <w:rPr>
                <w:rFonts w:ascii="CorpoS" w:hAnsi="CorpoS"/>
                <w:b/>
                <w:sz w:val="22"/>
                <w:szCs w:val="22"/>
                <w:lang w:val="de-DE"/>
              </w:rPr>
              <w:t>Conversion</w:t>
            </w:r>
            <w:proofErr w:type="spellEnd"/>
            <w:r w:rsidRPr="005A7339">
              <w:rPr>
                <w:rFonts w:ascii="CorpoS" w:hAnsi="CorpoS"/>
                <w:b/>
                <w:sz w:val="22"/>
                <w:szCs w:val="22"/>
                <w:lang w:val="de-DE"/>
              </w:rPr>
              <w:t xml:space="preserve"> Rate</w:t>
            </w:r>
          </w:p>
        </w:tc>
        <w:tc>
          <w:tcPr>
            <w:tcW w:w="3089" w:type="dxa"/>
            <w:shd w:val="clear" w:color="auto" w:fill="auto"/>
          </w:tcPr>
          <w:p w:rsidR="00E957DB" w:rsidRPr="005A7339" w:rsidRDefault="00E957DB" w:rsidP="00E957DB">
            <w:pPr>
              <w:jc w:val="both"/>
              <w:rPr>
                <w:rFonts w:ascii="CorpoS" w:hAnsi="CorpoS"/>
                <w:sz w:val="22"/>
                <w:szCs w:val="22"/>
                <w:lang w:val="de-DE"/>
              </w:rPr>
            </w:pPr>
            <w:r w:rsidRPr="005A7339">
              <w:rPr>
                <w:rFonts w:ascii="CorpoS" w:hAnsi="CorpoS"/>
                <w:sz w:val="22"/>
                <w:szCs w:val="22"/>
                <w:lang w:val="de-DE"/>
              </w:rPr>
              <w:t>mittlerer bis hoher zweistelliger Prozentbereich</w:t>
            </w:r>
          </w:p>
        </w:tc>
        <w:tc>
          <w:tcPr>
            <w:tcW w:w="3119" w:type="dxa"/>
            <w:shd w:val="clear" w:color="auto" w:fill="auto"/>
          </w:tcPr>
          <w:p w:rsidR="00E957DB" w:rsidRPr="005A7339" w:rsidRDefault="00E957DB" w:rsidP="00E957DB">
            <w:pPr>
              <w:jc w:val="both"/>
              <w:rPr>
                <w:rFonts w:ascii="CorpoS" w:hAnsi="CorpoS"/>
                <w:sz w:val="22"/>
                <w:szCs w:val="22"/>
                <w:lang w:val="de-DE"/>
              </w:rPr>
            </w:pPr>
            <w:r w:rsidRPr="005A7339">
              <w:rPr>
                <w:rFonts w:ascii="CorpoS" w:hAnsi="CorpoS"/>
                <w:sz w:val="22"/>
                <w:szCs w:val="22"/>
                <w:lang w:val="de-DE"/>
              </w:rPr>
              <w:t>hoher zweistelliger Prozentbereich</w:t>
            </w:r>
          </w:p>
        </w:tc>
      </w:tr>
    </w:tbl>
    <w:p w:rsidR="00E957DB" w:rsidRDefault="00E957DB" w:rsidP="0030178E">
      <w:pPr>
        <w:ind w:right="1984"/>
        <w:jc w:val="both"/>
        <w:rPr>
          <w:rFonts w:ascii="CorpoS" w:hAnsi="CorpoS"/>
          <w:b/>
          <w:sz w:val="20"/>
          <w:u w:val="single"/>
          <w:lang w:val="de-DE"/>
        </w:rPr>
      </w:pPr>
    </w:p>
    <w:p w:rsidR="00E957DB" w:rsidRDefault="00E957DB" w:rsidP="0030178E">
      <w:pPr>
        <w:ind w:right="1984"/>
        <w:jc w:val="both"/>
        <w:rPr>
          <w:rFonts w:ascii="CorpoS" w:hAnsi="CorpoS"/>
          <w:b/>
          <w:sz w:val="20"/>
          <w:u w:val="single"/>
          <w:lang w:val="de-DE"/>
        </w:rPr>
      </w:pPr>
    </w:p>
    <w:p w:rsidR="0030178E" w:rsidRDefault="0030178E" w:rsidP="0030178E">
      <w:pPr>
        <w:ind w:right="1984"/>
        <w:jc w:val="both"/>
        <w:rPr>
          <w:rFonts w:ascii="CorpoS" w:hAnsi="CorpoS"/>
          <w:b/>
          <w:sz w:val="20"/>
          <w:u w:val="single"/>
          <w:lang w:val="de-DE"/>
        </w:rPr>
      </w:pPr>
      <w:r w:rsidRPr="00D46B91">
        <w:rPr>
          <w:rFonts w:ascii="CorpoS" w:hAnsi="CorpoS"/>
          <w:b/>
          <w:sz w:val="20"/>
          <w:u w:val="single"/>
          <w:lang w:val="de-DE"/>
        </w:rPr>
        <w:t>Über die MTU Aero Engines</w:t>
      </w:r>
    </w:p>
    <w:p w:rsidR="0030178E" w:rsidRPr="007425D1" w:rsidRDefault="0030178E" w:rsidP="0030178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rsidR="0030178E" w:rsidRPr="007425D1" w:rsidRDefault="0030178E" w:rsidP="0030178E">
      <w:pPr>
        <w:ind w:right="424"/>
        <w:jc w:val="both"/>
        <w:rPr>
          <w:rFonts w:ascii="CorpoS" w:hAnsi="CorpoS" w:cs="Arial"/>
          <w:sz w:val="20"/>
          <w:lang w:val="de-DE"/>
        </w:rPr>
      </w:pPr>
    </w:p>
    <w:p w:rsidR="0030178E" w:rsidRPr="007425D1" w:rsidRDefault="0030178E" w:rsidP="0030178E">
      <w:pPr>
        <w:ind w:right="424"/>
        <w:jc w:val="both"/>
        <w:rPr>
          <w:rFonts w:ascii="CorpoS" w:hAnsi="CorpoS" w:cs="Arial"/>
          <w:sz w:val="20"/>
          <w:lang w:val="de-DE"/>
        </w:rPr>
      </w:pPr>
    </w:p>
    <w:p w:rsidR="0030178E" w:rsidRPr="006166B4" w:rsidRDefault="0030178E" w:rsidP="0030178E">
      <w:pPr>
        <w:rPr>
          <w:rFonts w:ascii="CorpoS" w:hAnsi="CorpoS"/>
          <w:sz w:val="20"/>
          <w:u w:val="single"/>
          <w:lang w:val="de-DE"/>
        </w:rPr>
      </w:pPr>
      <w:r w:rsidRPr="006166B4">
        <w:rPr>
          <w:rFonts w:ascii="CorpoS" w:hAnsi="CorpoS"/>
          <w:sz w:val="20"/>
          <w:u w:val="single"/>
          <w:lang w:val="de-DE"/>
        </w:rPr>
        <w:lastRenderedPageBreak/>
        <w:t>Ihre Ansprechpartner:</w:t>
      </w:r>
    </w:p>
    <w:p w:rsidR="0030178E" w:rsidRPr="006166B4" w:rsidRDefault="0030178E" w:rsidP="0030178E">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rsidR="0030178E" w:rsidRPr="006166B4" w:rsidRDefault="0030178E" w:rsidP="0030178E">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rsidR="0030178E" w:rsidRPr="00E942B3" w:rsidRDefault="0030178E" w:rsidP="0030178E">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rsidR="0030178E" w:rsidRPr="00E942B3" w:rsidRDefault="0030178E" w:rsidP="0030178E">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rsidR="0030178E" w:rsidRPr="006166B4" w:rsidRDefault="0030178E" w:rsidP="0030178E">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rsidR="0030178E" w:rsidRPr="006166B4" w:rsidRDefault="0030178E" w:rsidP="0030178E">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rsidR="0030178E" w:rsidRPr="006166B4" w:rsidRDefault="0030178E" w:rsidP="0030178E">
      <w:pPr>
        <w:rPr>
          <w:rFonts w:ascii="CorpoS" w:hAnsi="CorpoS"/>
          <w:szCs w:val="24"/>
          <w:u w:val="single"/>
          <w:lang w:val="de-DE"/>
        </w:rPr>
      </w:pPr>
    </w:p>
    <w:p w:rsidR="0030178E" w:rsidRPr="006166B4" w:rsidRDefault="0030178E" w:rsidP="0030178E">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rsidR="0030178E" w:rsidRPr="006166B4" w:rsidRDefault="0030178E" w:rsidP="0030178E">
      <w:pPr>
        <w:pStyle w:val="MTUBodycopy"/>
        <w:tabs>
          <w:tab w:val="left" w:pos="8505"/>
        </w:tabs>
        <w:ind w:right="1984"/>
        <w:jc w:val="both"/>
        <w:rPr>
          <w:i/>
          <w:lang w:val="de-DE"/>
        </w:rPr>
      </w:pPr>
    </w:p>
    <w:p w:rsidR="0030178E" w:rsidRPr="006166B4" w:rsidRDefault="0030178E" w:rsidP="0030178E">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rsidR="0030178E" w:rsidRPr="006166B4" w:rsidRDefault="0030178E" w:rsidP="0030178E">
      <w:pPr>
        <w:rPr>
          <w:rFonts w:ascii="CorpoS" w:hAnsi="CorpoS"/>
          <w:sz w:val="16"/>
          <w:szCs w:val="16"/>
          <w:lang w:val="de-DE"/>
        </w:rPr>
      </w:pPr>
    </w:p>
    <w:p w:rsidR="0030178E" w:rsidRPr="006166B4" w:rsidRDefault="0030178E" w:rsidP="0030178E">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p w:rsidR="00DD64E9" w:rsidRPr="00C51A14" w:rsidRDefault="00DD64E9" w:rsidP="00711D21">
      <w:pPr>
        <w:ind w:right="1984"/>
        <w:jc w:val="both"/>
        <w:rPr>
          <w:rFonts w:ascii="CorpoS" w:hAnsi="CorpoS"/>
          <w:b/>
          <w:sz w:val="22"/>
          <w:szCs w:val="22"/>
          <w:lang w:val="de-DE"/>
        </w:rPr>
      </w:pP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6" w:rsidRDefault="008612D6">
      <w:r>
        <w:separator/>
      </w:r>
    </w:p>
  </w:footnote>
  <w:footnote w:type="continuationSeparator" w:id="0">
    <w:p w:rsidR="008612D6" w:rsidRDefault="008612D6">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201"/>
    <w:rsid w:val="0000441F"/>
    <w:rsid w:val="0000543C"/>
    <w:rsid w:val="00007718"/>
    <w:rsid w:val="00007EF3"/>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F55"/>
    <w:rsid w:val="0007603C"/>
    <w:rsid w:val="0008019B"/>
    <w:rsid w:val="00084883"/>
    <w:rsid w:val="000860C0"/>
    <w:rsid w:val="000939E0"/>
    <w:rsid w:val="00094DD7"/>
    <w:rsid w:val="00095C96"/>
    <w:rsid w:val="00096329"/>
    <w:rsid w:val="000A1616"/>
    <w:rsid w:val="000A22E2"/>
    <w:rsid w:val="000A4FBA"/>
    <w:rsid w:val="000A6390"/>
    <w:rsid w:val="000A65E0"/>
    <w:rsid w:val="000B2DE3"/>
    <w:rsid w:val="000B4618"/>
    <w:rsid w:val="000B624E"/>
    <w:rsid w:val="000B67F6"/>
    <w:rsid w:val="000C07D5"/>
    <w:rsid w:val="000C09A7"/>
    <w:rsid w:val="000C0F63"/>
    <w:rsid w:val="000C117F"/>
    <w:rsid w:val="000C1A76"/>
    <w:rsid w:val="000C7B00"/>
    <w:rsid w:val="000D0091"/>
    <w:rsid w:val="000D2837"/>
    <w:rsid w:val="000D30B4"/>
    <w:rsid w:val="000D472F"/>
    <w:rsid w:val="000E0516"/>
    <w:rsid w:val="000E11FC"/>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255E"/>
    <w:rsid w:val="00143677"/>
    <w:rsid w:val="00143704"/>
    <w:rsid w:val="00144D88"/>
    <w:rsid w:val="0014737E"/>
    <w:rsid w:val="00150467"/>
    <w:rsid w:val="00151E2A"/>
    <w:rsid w:val="00160513"/>
    <w:rsid w:val="00161E32"/>
    <w:rsid w:val="001622D3"/>
    <w:rsid w:val="00163004"/>
    <w:rsid w:val="00163A39"/>
    <w:rsid w:val="00170367"/>
    <w:rsid w:val="00172C9C"/>
    <w:rsid w:val="00181D71"/>
    <w:rsid w:val="0018428A"/>
    <w:rsid w:val="00185F1D"/>
    <w:rsid w:val="00187B91"/>
    <w:rsid w:val="00191C2E"/>
    <w:rsid w:val="00197CF5"/>
    <w:rsid w:val="001A1295"/>
    <w:rsid w:val="001A4478"/>
    <w:rsid w:val="001A47CB"/>
    <w:rsid w:val="001B1AE3"/>
    <w:rsid w:val="001B434D"/>
    <w:rsid w:val="001B5DC2"/>
    <w:rsid w:val="001C403E"/>
    <w:rsid w:val="001C53D3"/>
    <w:rsid w:val="001C5559"/>
    <w:rsid w:val="001C5F28"/>
    <w:rsid w:val="001C651B"/>
    <w:rsid w:val="001D0A9D"/>
    <w:rsid w:val="001D0CE4"/>
    <w:rsid w:val="001D1846"/>
    <w:rsid w:val="001D4082"/>
    <w:rsid w:val="001D4D29"/>
    <w:rsid w:val="001D5D33"/>
    <w:rsid w:val="001E0F56"/>
    <w:rsid w:val="001E178D"/>
    <w:rsid w:val="001E5591"/>
    <w:rsid w:val="001E56B3"/>
    <w:rsid w:val="001E5784"/>
    <w:rsid w:val="001E71BD"/>
    <w:rsid w:val="001F34ED"/>
    <w:rsid w:val="001F4294"/>
    <w:rsid w:val="002017DB"/>
    <w:rsid w:val="002037D9"/>
    <w:rsid w:val="002076FA"/>
    <w:rsid w:val="0021191F"/>
    <w:rsid w:val="0021633B"/>
    <w:rsid w:val="00222DEF"/>
    <w:rsid w:val="0022336E"/>
    <w:rsid w:val="00226271"/>
    <w:rsid w:val="002264A2"/>
    <w:rsid w:val="002335C6"/>
    <w:rsid w:val="00236E3A"/>
    <w:rsid w:val="00237253"/>
    <w:rsid w:val="002437FE"/>
    <w:rsid w:val="002451C6"/>
    <w:rsid w:val="00245B50"/>
    <w:rsid w:val="00252060"/>
    <w:rsid w:val="002520D2"/>
    <w:rsid w:val="002534DF"/>
    <w:rsid w:val="00254406"/>
    <w:rsid w:val="00254EE7"/>
    <w:rsid w:val="00256BAD"/>
    <w:rsid w:val="00257EED"/>
    <w:rsid w:val="00261A60"/>
    <w:rsid w:val="00263593"/>
    <w:rsid w:val="002654C2"/>
    <w:rsid w:val="00270DD3"/>
    <w:rsid w:val="00275485"/>
    <w:rsid w:val="00280197"/>
    <w:rsid w:val="00281AA0"/>
    <w:rsid w:val="00290B6D"/>
    <w:rsid w:val="00291085"/>
    <w:rsid w:val="0029213E"/>
    <w:rsid w:val="00293B4D"/>
    <w:rsid w:val="00294293"/>
    <w:rsid w:val="00295ECB"/>
    <w:rsid w:val="00296646"/>
    <w:rsid w:val="002966FA"/>
    <w:rsid w:val="002A006A"/>
    <w:rsid w:val="002A0942"/>
    <w:rsid w:val="002A20B0"/>
    <w:rsid w:val="002A3DF2"/>
    <w:rsid w:val="002A4079"/>
    <w:rsid w:val="002A57D3"/>
    <w:rsid w:val="002A63C8"/>
    <w:rsid w:val="002B3054"/>
    <w:rsid w:val="002B3F72"/>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78E"/>
    <w:rsid w:val="003018DF"/>
    <w:rsid w:val="00302095"/>
    <w:rsid w:val="00305E13"/>
    <w:rsid w:val="0030683D"/>
    <w:rsid w:val="00310230"/>
    <w:rsid w:val="00310E95"/>
    <w:rsid w:val="003116B4"/>
    <w:rsid w:val="00311CAE"/>
    <w:rsid w:val="00314028"/>
    <w:rsid w:val="00316554"/>
    <w:rsid w:val="003166DB"/>
    <w:rsid w:val="00317423"/>
    <w:rsid w:val="00322F67"/>
    <w:rsid w:val="00323114"/>
    <w:rsid w:val="00324FB1"/>
    <w:rsid w:val="00325951"/>
    <w:rsid w:val="003306E0"/>
    <w:rsid w:val="003328AC"/>
    <w:rsid w:val="003329A3"/>
    <w:rsid w:val="00332B8F"/>
    <w:rsid w:val="0033314C"/>
    <w:rsid w:val="003421CC"/>
    <w:rsid w:val="003423A0"/>
    <w:rsid w:val="00342A55"/>
    <w:rsid w:val="00343C99"/>
    <w:rsid w:val="00343DB0"/>
    <w:rsid w:val="00344B08"/>
    <w:rsid w:val="003465D9"/>
    <w:rsid w:val="0035075B"/>
    <w:rsid w:val="00351FB9"/>
    <w:rsid w:val="003527F1"/>
    <w:rsid w:val="0035315A"/>
    <w:rsid w:val="003536F8"/>
    <w:rsid w:val="00354A2A"/>
    <w:rsid w:val="00354BD1"/>
    <w:rsid w:val="00355745"/>
    <w:rsid w:val="00355763"/>
    <w:rsid w:val="003577B9"/>
    <w:rsid w:val="0036092F"/>
    <w:rsid w:val="0036198C"/>
    <w:rsid w:val="00364578"/>
    <w:rsid w:val="00364C74"/>
    <w:rsid w:val="003717F3"/>
    <w:rsid w:val="00371A46"/>
    <w:rsid w:val="003727AA"/>
    <w:rsid w:val="00372AD7"/>
    <w:rsid w:val="00372B65"/>
    <w:rsid w:val="00373AC6"/>
    <w:rsid w:val="00377B6C"/>
    <w:rsid w:val="0038142E"/>
    <w:rsid w:val="003839FD"/>
    <w:rsid w:val="0038603B"/>
    <w:rsid w:val="003875F7"/>
    <w:rsid w:val="00390A09"/>
    <w:rsid w:val="00392F50"/>
    <w:rsid w:val="003A06B1"/>
    <w:rsid w:val="003A0927"/>
    <w:rsid w:val="003A1E07"/>
    <w:rsid w:val="003A20E2"/>
    <w:rsid w:val="003A2477"/>
    <w:rsid w:val="003A2718"/>
    <w:rsid w:val="003A4B83"/>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1EC3"/>
    <w:rsid w:val="003D274C"/>
    <w:rsid w:val="003D6D9B"/>
    <w:rsid w:val="003E2208"/>
    <w:rsid w:val="003E220C"/>
    <w:rsid w:val="003E23F9"/>
    <w:rsid w:val="003E368F"/>
    <w:rsid w:val="003E4C71"/>
    <w:rsid w:val="003E612B"/>
    <w:rsid w:val="003E65EC"/>
    <w:rsid w:val="003E7697"/>
    <w:rsid w:val="003F0EC8"/>
    <w:rsid w:val="003F3C37"/>
    <w:rsid w:val="003F4F8C"/>
    <w:rsid w:val="0040017C"/>
    <w:rsid w:val="004044B7"/>
    <w:rsid w:val="004044E9"/>
    <w:rsid w:val="00405869"/>
    <w:rsid w:val="00407460"/>
    <w:rsid w:val="00410940"/>
    <w:rsid w:val="00411628"/>
    <w:rsid w:val="00415D3F"/>
    <w:rsid w:val="00416CE4"/>
    <w:rsid w:val="004203A5"/>
    <w:rsid w:val="00421D92"/>
    <w:rsid w:val="00421E42"/>
    <w:rsid w:val="00422193"/>
    <w:rsid w:val="00422AC8"/>
    <w:rsid w:val="004232FE"/>
    <w:rsid w:val="00424DDD"/>
    <w:rsid w:val="00426058"/>
    <w:rsid w:val="00431FEC"/>
    <w:rsid w:val="00433A66"/>
    <w:rsid w:val="004429B1"/>
    <w:rsid w:val="00444D67"/>
    <w:rsid w:val="004470D8"/>
    <w:rsid w:val="00447F58"/>
    <w:rsid w:val="004607AE"/>
    <w:rsid w:val="00462E55"/>
    <w:rsid w:val="0046413D"/>
    <w:rsid w:val="00466DC0"/>
    <w:rsid w:val="0047232B"/>
    <w:rsid w:val="00472A29"/>
    <w:rsid w:val="00475107"/>
    <w:rsid w:val="00475E50"/>
    <w:rsid w:val="00476248"/>
    <w:rsid w:val="004778EB"/>
    <w:rsid w:val="004803BB"/>
    <w:rsid w:val="00481764"/>
    <w:rsid w:val="0048381E"/>
    <w:rsid w:val="0048499B"/>
    <w:rsid w:val="00490BB2"/>
    <w:rsid w:val="00490C18"/>
    <w:rsid w:val="00494B76"/>
    <w:rsid w:val="0049611B"/>
    <w:rsid w:val="004966DC"/>
    <w:rsid w:val="00496A36"/>
    <w:rsid w:val="00497A32"/>
    <w:rsid w:val="004A092E"/>
    <w:rsid w:val="004A4B04"/>
    <w:rsid w:val="004A738C"/>
    <w:rsid w:val="004B1C92"/>
    <w:rsid w:val="004B496B"/>
    <w:rsid w:val="004B5C4C"/>
    <w:rsid w:val="004B5EFE"/>
    <w:rsid w:val="004B7E67"/>
    <w:rsid w:val="004C0AA1"/>
    <w:rsid w:val="004C372A"/>
    <w:rsid w:val="004C4759"/>
    <w:rsid w:val="004C594B"/>
    <w:rsid w:val="004C5E01"/>
    <w:rsid w:val="004C5F8C"/>
    <w:rsid w:val="004D5603"/>
    <w:rsid w:val="004E0F1F"/>
    <w:rsid w:val="004E118D"/>
    <w:rsid w:val="004E5F27"/>
    <w:rsid w:val="004F201A"/>
    <w:rsid w:val="004F4B54"/>
    <w:rsid w:val="004F5EC6"/>
    <w:rsid w:val="004F7CF8"/>
    <w:rsid w:val="00501438"/>
    <w:rsid w:val="00501E37"/>
    <w:rsid w:val="0050545E"/>
    <w:rsid w:val="00507889"/>
    <w:rsid w:val="00507DA2"/>
    <w:rsid w:val="005106C2"/>
    <w:rsid w:val="00511729"/>
    <w:rsid w:val="00513ADD"/>
    <w:rsid w:val="005159F9"/>
    <w:rsid w:val="005200F5"/>
    <w:rsid w:val="00522324"/>
    <w:rsid w:val="00526131"/>
    <w:rsid w:val="00526D8D"/>
    <w:rsid w:val="00531941"/>
    <w:rsid w:val="00532315"/>
    <w:rsid w:val="005372F6"/>
    <w:rsid w:val="00541147"/>
    <w:rsid w:val="0054129D"/>
    <w:rsid w:val="005427EA"/>
    <w:rsid w:val="0054532F"/>
    <w:rsid w:val="005501C9"/>
    <w:rsid w:val="005555C2"/>
    <w:rsid w:val="00556F66"/>
    <w:rsid w:val="0056031D"/>
    <w:rsid w:val="00560D20"/>
    <w:rsid w:val="00564226"/>
    <w:rsid w:val="005660B5"/>
    <w:rsid w:val="00567B1D"/>
    <w:rsid w:val="00572802"/>
    <w:rsid w:val="0057356D"/>
    <w:rsid w:val="0057389B"/>
    <w:rsid w:val="00574B13"/>
    <w:rsid w:val="00576097"/>
    <w:rsid w:val="005810E3"/>
    <w:rsid w:val="0058165A"/>
    <w:rsid w:val="00583F6B"/>
    <w:rsid w:val="00584264"/>
    <w:rsid w:val="00584F4F"/>
    <w:rsid w:val="00584FA3"/>
    <w:rsid w:val="00591762"/>
    <w:rsid w:val="005934BB"/>
    <w:rsid w:val="00594932"/>
    <w:rsid w:val="005A006F"/>
    <w:rsid w:val="005A1451"/>
    <w:rsid w:val="005A280D"/>
    <w:rsid w:val="005A3CA0"/>
    <w:rsid w:val="005A4152"/>
    <w:rsid w:val="005A75B7"/>
    <w:rsid w:val="005B1253"/>
    <w:rsid w:val="005B4229"/>
    <w:rsid w:val="005B4F69"/>
    <w:rsid w:val="005B5A86"/>
    <w:rsid w:val="005B5E19"/>
    <w:rsid w:val="005B61E0"/>
    <w:rsid w:val="005B7771"/>
    <w:rsid w:val="005C4EC9"/>
    <w:rsid w:val="005C6330"/>
    <w:rsid w:val="005C6A8C"/>
    <w:rsid w:val="005D2735"/>
    <w:rsid w:val="005D6292"/>
    <w:rsid w:val="005D737B"/>
    <w:rsid w:val="005E128F"/>
    <w:rsid w:val="005E1D59"/>
    <w:rsid w:val="005E2F6D"/>
    <w:rsid w:val="005E64C5"/>
    <w:rsid w:val="005F0CA7"/>
    <w:rsid w:val="005F55C7"/>
    <w:rsid w:val="005F699B"/>
    <w:rsid w:val="005F6B07"/>
    <w:rsid w:val="00601381"/>
    <w:rsid w:val="0060201F"/>
    <w:rsid w:val="00602DEE"/>
    <w:rsid w:val="00603DF3"/>
    <w:rsid w:val="00606944"/>
    <w:rsid w:val="00607764"/>
    <w:rsid w:val="006140A4"/>
    <w:rsid w:val="00614A3F"/>
    <w:rsid w:val="006156F6"/>
    <w:rsid w:val="00616F28"/>
    <w:rsid w:val="00617CD4"/>
    <w:rsid w:val="0062287C"/>
    <w:rsid w:val="0062319C"/>
    <w:rsid w:val="0062777D"/>
    <w:rsid w:val="0063424C"/>
    <w:rsid w:val="00636522"/>
    <w:rsid w:val="006368A1"/>
    <w:rsid w:val="006379B7"/>
    <w:rsid w:val="00640206"/>
    <w:rsid w:val="00640770"/>
    <w:rsid w:val="00645AA4"/>
    <w:rsid w:val="006466E5"/>
    <w:rsid w:val="0065120E"/>
    <w:rsid w:val="0065197B"/>
    <w:rsid w:val="0065327F"/>
    <w:rsid w:val="006573CE"/>
    <w:rsid w:val="00660E21"/>
    <w:rsid w:val="00661D67"/>
    <w:rsid w:val="00667C33"/>
    <w:rsid w:val="0067551C"/>
    <w:rsid w:val="00681B62"/>
    <w:rsid w:val="00682B38"/>
    <w:rsid w:val="0068586D"/>
    <w:rsid w:val="00686E41"/>
    <w:rsid w:val="006906EB"/>
    <w:rsid w:val="00692934"/>
    <w:rsid w:val="006929DF"/>
    <w:rsid w:val="00692AEF"/>
    <w:rsid w:val="0069361B"/>
    <w:rsid w:val="00694A29"/>
    <w:rsid w:val="00694F51"/>
    <w:rsid w:val="00695DED"/>
    <w:rsid w:val="00696E88"/>
    <w:rsid w:val="006A16CD"/>
    <w:rsid w:val="006A30A9"/>
    <w:rsid w:val="006A71EF"/>
    <w:rsid w:val="006B0CBE"/>
    <w:rsid w:val="006B1097"/>
    <w:rsid w:val="006B37D9"/>
    <w:rsid w:val="006B61E1"/>
    <w:rsid w:val="006C7C86"/>
    <w:rsid w:val="006D1C26"/>
    <w:rsid w:val="006D6B21"/>
    <w:rsid w:val="006E0629"/>
    <w:rsid w:val="006E141E"/>
    <w:rsid w:val="006E1D8B"/>
    <w:rsid w:val="006E23D5"/>
    <w:rsid w:val="006E26F8"/>
    <w:rsid w:val="006E6D73"/>
    <w:rsid w:val="006F42F4"/>
    <w:rsid w:val="006F76F1"/>
    <w:rsid w:val="00701727"/>
    <w:rsid w:val="00701B52"/>
    <w:rsid w:val="0070220C"/>
    <w:rsid w:val="00702B85"/>
    <w:rsid w:val="007030E1"/>
    <w:rsid w:val="0070360F"/>
    <w:rsid w:val="00706897"/>
    <w:rsid w:val="007068CC"/>
    <w:rsid w:val="00711D21"/>
    <w:rsid w:val="00712F46"/>
    <w:rsid w:val="00714F82"/>
    <w:rsid w:val="007174B3"/>
    <w:rsid w:val="007213D0"/>
    <w:rsid w:val="0072741F"/>
    <w:rsid w:val="00727D93"/>
    <w:rsid w:val="00727F2B"/>
    <w:rsid w:val="00733915"/>
    <w:rsid w:val="00742443"/>
    <w:rsid w:val="00742FCE"/>
    <w:rsid w:val="007527E9"/>
    <w:rsid w:val="00755EB4"/>
    <w:rsid w:val="0075630D"/>
    <w:rsid w:val="007575AF"/>
    <w:rsid w:val="00757670"/>
    <w:rsid w:val="007600C0"/>
    <w:rsid w:val="00760EE0"/>
    <w:rsid w:val="00761A2B"/>
    <w:rsid w:val="0076577A"/>
    <w:rsid w:val="00766743"/>
    <w:rsid w:val="007674A9"/>
    <w:rsid w:val="007719C7"/>
    <w:rsid w:val="00772834"/>
    <w:rsid w:val="007730A7"/>
    <w:rsid w:val="0077589D"/>
    <w:rsid w:val="007773AE"/>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3E60"/>
    <w:rsid w:val="007C5879"/>
    <w:rsid w:val="007C68D3"/>
    <w:rsid w:val="007C7D85"/>
    <w:rsid w:val="007D020C"/>
    <w:rsid w:val="007D307F"/>
    <w:rsid w:val="007D3740"/>
    <w:rsid w:val="007D4FCF"/>
    <w:rsid w:val="007D5ABB"/>
    <w:rsid w:val="007D70CA"/>
    <w:rsid w:val="007E2F59"/>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2C91"/>
    <w:rsid w:val="00826963"/>
    <w:rsid w:val="00826A11"/>
    <w:rsid w:val="008271DD"/>
    <w:rsid w:val="008314C6"/>
    <w:rsid w:val="00831FA3"/>
    <w:rsid w:val="00832A2D"/>
    <w:rsid w:val="00833404"/>
    <w:rsid w:val="00837CB6"/>
    <w:rsid w:val="00840ED4"/>
    <w:rsid w:val="00841802"/>
    <w:rsid w:val="008418A3"/>
    <w:rsid w:val="0084218C"/>
    <w:rsid w:val="00842C48"/>
    <w:rsid w:val="00846648"/>
    <w:rsid w:val="00851896"/>
    <w:rsid w:val="00853255"/>
    <w:rsid w:val="0085541A"/>
    <w:rsid w:val="0086110A"/>
    <w:rsid w:val="008612D6"/>
    <w:rsid w:val="008651D1"/>
    <w:rsid w:val="00872C46"/>
    <w:rsid w:val="00875A82"/>
    <w:rsid w:val="00884707"/>
    <w:rsid w:val="008879C4"/>
    <w:rsid w:val="00890BCF"/>
    <w:rsid w:val="00891BD3"/>
    <w:rsid w:val="008936CD"/>
    <w:rsid w:val="008944CD"/>
    <w:rsid w:val="00895B9F"/>
    <w:rsid w:val="008A1E29"/>
    <w:rsid w:val="008A1E6D"/>
    <w:rsid w:val="008A23C6"/>
    <w:rsid w:val="008A5EAE"/>
    <w:rsid w:val="008A687C"/>
    <w:rsid w:val="008A6D05"/>
    <w:rsid w:val="008B2068"/>
    <w:rsid w:val="008B3B18"/>
    <w:rsid w:val="008B70A2"/>
    <w:rsid w:val="008C2911"/>
    <w:rsid w:val="008C2D6C"/>
    <w:rsid w:val="008C3580"/>
    <w:rsid w:val="008C5630"/>
    <w:rsid w:val="008C7FB8"/>
    <w:rsid w:val="008D30CD"/>
    <w:rsid w:val="008D3F07"/>
    <w:rsid w:val="008D5F6B"/>
    <w:rsid w:val="008D7030"/>
    <w:rsid w:val="008D7CDD"/>
    <w:rsid w:val="008E3B41"/>
    <w:rsid w:val="008E4130"/>
    <w:rsid w:val="008F0DAC"/>
    <w:rsid w:val="008F7EB9"/>
    <w:rsid w:val="0090767E"/>
    <w:rsid w:val="00907BC3"/>
    <w:rsid w:val="0091495A"/>
    <w:rsid w:val="00914C01"/>
    <w:rsid w:val="00914C9B"/>
    <w:rsid w:val="009153DB"/>
    <w:rsid w:val="00917918"/>
    <w:rsid w:val="0092266A"/>
    <w:rsid w:val="00923D30"/>
    <w:rsid w:val="0092750A"/>
    <w:rsid w:val="009306FF"/>
    <w:rsid w:val="00932903"/>
    <w:rsid w:val="00932E78"/>
    <w:rsid w:val="009330AF"/>
    <w:rsid w:val="0093506E"/>
    <w:rsid w:val="0093526E"/>
    <w:rsid w:val="00936208"/>
    <w:rsid w:val="00937D4C"/>
    <w:rsid w:val="00942722"/>
    <w:rsid w:val="00944CD8"/>
    <w:rsid w:val="00945147"/>
    <w:rsid w:val="009451BC"/>
    <w:rsid w:val="009465EC"/>
    <w:rsid w:val="00947620"/>
    <w:rsid w:val="00947BA9"/>
    <w:rsid w:val="00950960"/>
    <w:rsid w:val="009510EF"/>
    <w:rsid w:val="00955146"/>
    <w:rsid w:val="00956671"/>
    <w:rsid w:val="0096124D"/>
    <w:rsid w:val="009621AC"/>
    <w:rsid w:val="00962C3D"/>
    <w:rsid w:val="00963D45"/>
    <w:rsid w:val="00966D07"/>
    <w:rsid w:val="00966EB2"/>
    <w:rsid w:val="009677D8"/>
    <w:rsid w:val="00970F2A"/>
    <w:rsid w:val="00971E42"/>
    <w:rsid w:val="00972A32"/>
    <w:rsid w:val="00974D59"/>
    <w:rsid w:val="00976657"/>
    <w:rsid w:val="00977B12"/>
    <w:rsid w:val="00977BA5"/>
    <w:rsid w:val="00977BC9"/>
    <w:rsid w:val="00982B92"/>
    <w:rsid w:val="00984BD9"/>
    <w:rsid w:val="00984C9F"/>
    <w:rsid w:val="00990DAF"/>
    <w:rsid w:val="00991CFF"/>
    <w:rsid w:val="00992B29"/>
    <w:rsid w:val="00992CD8"/>
    <w:rsid w:val="009959F2"/>
    <w:rsid w:val="0099749E"/>
    <w:rsid w:val="00997AC3"/>
    <w:rsid w:val="009A2E36"/>
    <w:rsid w:val="009A5275"/>
    <w:rsid w:val="009B0DD6"/>
    <w:rsid w:val="009B110E"/>
    <w:rsid w:val="009B22E6"/>
    <w:rsid w:val="009B230A"/>
    <w:rsid w:val="009B248F"/>
    <w:rsid w:val="009B2DF1"/>
    <w:rsid w:val="009B4DFE"/>
    <w:rsid w:val="009B72F3"/>
    <w:rsid w:val="009C049E"/>
    <w:rsid w:val="009C19B6"/>
    <w:rsid w:val="009C2A26"/>
    <w:rsid w:val="009C3D1C"/>
    <w:rsid w:val="009D1E9E"/>
    <w:rsid w:val="009D2AF7"/>
    <w:rsid w:val="009D35D0"/>
    <w:rsid w:val="009E0A17"/>
    <w:rsid w:val="009E2D48"/>
    <w:rsid w:val="009E49E6"/>
    <w:rsid w:val="009E566C"/>
    <w:rsid w:val="009E62BA"/>
    <w:rsid w:val="00A00B0A"/>
    <w:rsid w:val="00A0180E"/>
    <w:rsid w:val="00A03882"/>
    <w:rsid w:val="00A0666F"/>
    <w:rsid w:val="00A06B1D"/>
    <w:rsid w:val="00A1460F"/>
    <w:rsid w:val="00A159D4"/>
    <w:rsid w:val="00A169FE"/>
    <w:rsid w:val="00A2077D"/>
    <w:rsid w:val="00A22432"/>
    <w:rsid w:val="00A26DAC"/>
    <w:rsid w:val="00A3561D"/>
    <w:rsid w:val="00A35C99"/>
    <w:rsid w:val="00A40FB0"/>
    <w:rsid w:val="00A42949"/>
    <w:rsid w:val="00A43C45"/>
    <w:rsid w:val="00A449B8"/>
    <w:rsid w:val="00A4513B"/>
    <w:rsid w:val="00A45255"/>
    <w:rsid w:val="00A5066E"/>
    <w:rsid w:val="00A50AB3"/>
    <w:rsid w:val="00A52FED"/>
    <w:rsid w:val="00A531FE"/>
    <w:rsid w:val="00A54C34"/>
    <w:rsid w:val="00A55138"/>
    <w:rsid w:val="00A553FE"/>
    <w:rsid w:val="00A56A31"/>
    <w:rsid w:val="00A6393A"/>
    <w:rsid w:val="00A64FB8"/>
    <w:rsid w:val="00A65E3C"/>
    <w:rsid w:val="00A66252"/>
    <w:rsid w:val="00A73E32"/>
    <w:rsid w:val="00A749A4"/>
    <w:rsid w:val="00A76F73"/>
    <w:rsid w:val="00A775D8"/>
    <w:rsid w:val="00A84297"/>
    <w:rsid w:val="00A8770E"/>
    <w:rsid w:val="00A93031"/>
    <w:rsid w:val="00A93F50"/>
    <w:rsid w:val="00A9467A"/>
    <w:rsid w:val="00A9636B"/>
    <w:rsid w:val="00AA0062"/>
    <w:rsid w:val="00AB0181"/>
    <w:rsid w:val="00AB038B"/>
    <w:rsid w:val="00AB1CAB"/>
    <w:rsid w:val="00AB550C"/>
    <w:rsid w:val="00AB560A"/>
    <w:rsid w:val="00AB5C62"/>
    <w:rsid w:val="00AB6495"/>
    <w:rsid w:val="00AB6E49"/>
    <w:rsid w:val="00AB7725"/>
    <w:rsid w:val="00AC3141"/>
    <w:rsid w:val="00AC3F4E"/>
    <w:rsid w:val="00AC58BD"/>
    <w:rsid w:val="00AC778C"/>
    <w:rsid w:val="00AC792A"/>
    <w:rsid w:val="00AD19E6"/>
    <w:rsid w:val="00AD3568"/>
    <w:rsid w:val="00AD571B"/>
    <w:rsid w:val="00AD7224"/>
    <w:rsid w:val="00AE0256"/>
    <w:rsid w:val="00AE1C19"/>
    <w:rsid w:val="00AE6BDA"/>
    <w:rsid w:val="00AF1055"/>
    <w:rsid w:val="00AF2BE8"/>
    <w:rsid w:val="00AF4071"/>
    <w:rsid w:val="00AF4CD5"/>
    <w:rsid w:val="00AF5C7C"/>
    <w:rsid w:val="00AF712C"/>
    <w:rsid w:val="00AF74CB"/>
    <w:rsid w:val="00AF7961"/>
    <w:rsid w:val="00B0190F"/>
    <w:rsid w:val="00B040EC"/>
    <w:rsid w:val="00B05CE3"/>
    <w:rsid w:val="00B067FA"/>
    <w:rsid w:val="00B076D6"/>
    <w:rsid w:val="00B118F8"/>
    <w:rsid w:val="00B121FD"/>
    <w:rsid w:val="00B12B4A"/>
    <w:rsid w:val="00B1640E"/>
    <w:rsid w:val="00B17715"/>
    <w:rsid w:val="00B22562"/>
    <w:rsid w:val="00B2314E"/>
    <w:rsid w:val="00B248E8"/>
    <w:rsid w:val="00B37A26"/>
    <w:rsid w:val="00B43819"/>
    <w:rsid w:val="00B45093"/>
    <w:rsid w:val="00B47642"/>
    <w:rsid w:val="00B51A82"/>
    <w:rsid w:val="00B531A8"/>
    <w:rsid w:val="00B57837"/>
    <w:rsid w:val="00B57AE5"/>
    <w:rsid w:val="00B60E2E"/>
    <w:rsid w:val="00B61CC4"/>
    <w:rsid w:val="00B652CF"/>
    <w:rsid w:val="00B662CB"/>
    <w:rsid w:val="00B67E21"/>
    <w:rsid w:val="00B71385"/>
    <w:rsid w:val="00B72BDB"/>
    <w:rsid w:val="00B764DA"/>
    <w:rsid w:val="00B773E8"/>
    <w:rsid w:val="00B8002F"/>
    <w:rsid w:val="00B800D4"/>
    <w:rsid w:val="00B82437"/>
    <w:rsid w:val="00B82B40"/>
    <w:rsid w:val="00B86EB1"/>
    <w:rsid w:val="00B87AF1"/>
    <w:rsid w:val="00B91284"/>
    <w:rsid w:val="00B92461"/>
    <w:rsid w:val="00B94466"/>
    <w:rsid w:val="00B95116"/>
    <w:rsid w:val="00B96909"/>
    <w:rsid w:val="00B977C5"/>
    <w:rsid w:val="00BA047C"/>
    <w:rsid w:val="00BA326C"/>
    <w:rsid w:val="00BA5A44"/>
    <w:rsid w:val="00BA6BBE"/>
    <w:rsid w:val="00BB03F9"/>
    <w:rsid w:val="00BB0EA9"/>
    <w:rsid w:val="00BB2E97"/>
    <w:rsid w:val="00BB5475"/>
    <w:rsid w:val="00BB5BC7"/>
    <w:rsid w:val="00BC0EFB"/>
    <w:rsid w:val="00BC26AC"/>
    <w:rsid w:val="00BC6FF6"/>
    <w:rsid w:val="00BC7C0F"/>
    <w:rsid w:val="00BD03D1"/>
    <w:rsid w:val="00BD0659"/>
    <w:rsid w:val="00BD4F3C"/>
    <w:rsid w:val="00BE0256"/>
    <w:rsid w:val="00BE340A"/>
    <w:rsid w:val="00BE5BA9"/>
    <w:rsid w:val="00BE76B6"/>
    <w:rsid w:val="00BF3B42"/>
    <w:rsid w:val="00BF53D7"/>
    <w:rsid w:val="00BF7EAD"/>
    <w:rsid w:val="00C022E0"/>
    <w:rsid w:val="00C037D7"/>
    <w:rsid w:val="00C0727F"/>
    <w:rsid w:val="00C11438"/>
    <w:rsid w:val="00C11F8D"/>
    <w:rsid w:val="00C13226"/>
    <w:rsid w:val="00C167F5"/>
    <w:rsid w:val="00C16B05"/>
    <w:rsid w:val="00C17B16"/>
    <w:rsid w:val="00C232B9"/>
    <w:rsid w:val="00C311FF"/>
    <w:rsid w:val="00C3136C"/>
    <w:rsid w:val="00C32522"/>
    <w:rsid w:val="00C32663"/>
    <w:rsid w:val="00C33551"/>
    <w:rsid w:val="00C33C4A"/>
    <w:rsid w:val="00C345E3"/>
    <w:rsid w:val="00C422B3"/>
    <w:rsid w:val="00C44533"/>
    <w:rsid w:val="00C46210"/>
    <w:rsid w:val="00C4731B"/>
    <w:rsid w:val="00C51A14"/>
    <w:rsid w:val="00C53234"/>
    <w:rsid w:val="00C551E1"/>
    <w:rsid w:val="00C5543F"/>
    <w:rsid w:val="00C56DE6"/>
    <w:rsid w:val="00C6116C"/>
    <w:rsid w:val="00C627ED"/>
    <w:rsid w:val="00C66179"/>
    <w:rsid w:val="00C6738A"/>
    <w:rsid w:val="00C71470"/>
    <w:rsid w:val="00C73544"/>
    <w:rsid w:val="00C74BED"/>
    <w:rsid w:val="00C75B75"/>
    <w:rsid w:val="00C84525"/>
    <w:rsid w:val="00C84921"/>
    <w:rsid w:val="00C853E9"/>
    <w:rsid w:val="00C914C3"/>
    <w:rsid w:val="00C91E70"/>
    <w:rsid w:val="00C921BA"/>
    <w:rsid w:val="00C93C32"/>
    <w:rsid w:val="00C9409F"/>
    <w:rsid w:val="00C95373"/>
    <w:rsid w:val="00C969D6"/>
    <w:rsid w:val="00CA302C"/>
    <w:rsid w:val="00CA7DD6"/>
    <w:rsid w:val="00CB0939"/>
    <w:rsid w:val="00CB178B"/>
    <w:rsid w:val="00CB1E20"/>
    <w:rsid w:val="00CB325E"/>
    <w:rsid w:val="00CB55D3"/>
    <w:rsid w:val="00CB6CF0"/>
    <w:rsid w:val="00CB6EA6"/>
    <w:rsid w:val="00CC0598"/>
    <w:rsid w:val="00CC494A"/>
    <w:rsid w:val="00CC790A"/>
    <w:rsid w:val="00CD2469"/>
    <w:rsid w:val="00CD2C29"/>
    <w:rsid w:val="00CE0E77"/>
    <w:rsid w:val="00CE3E0B"/>
    <w:rsid w:val="00CE462B"/>
    <w:rsid w:val="00CE5748"/>
    <w:rsid w:val="00CE58B6"/>
    <w:rsid w:val="00CE6106"/>
    <w:rsid w:val="00CE6DDA"/>
    <w:rsid w:val="00CE7924"/>
    <w:rsid w:val="00CF0603"/>
    <w:rsid w:val="00CF1657"/>
    <w:rsid w:val="00CF2371"/>
    <w:rsid w:val="00CF276E"/>
    <w:rsid w:val="00CF55C2"/>
    <w:rsid w:val="00D01090"/>
    <w:rsid w:val="00D0121F"/>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337B"/>
    <w:rsid w:val="00D342CF"/>
    <w:rsid w:val="00D3701C"/>
    <w:rsid w:val="00D457A9"/>
    <w:rsid w:val="00D46EAE"/>
    <w:rsid w:val="00D54B71"/>
    <w:rsid w:val="00D55BF8"/>
    <w:rsid w:val="00D57EF7"/>
    <w:rsid w:val="00D7050F"/>
    <w:rsid w:val="00D7261C"/>
    <w:rsid w:val="00D731CF"/>
    <w:rsid w:val="00D735CD"/>
    <w:rsid w:val="00D73883"/>
    <w:rsid w:val="00D76C52"/>
    <w:rsid w:val="00D822B2"/>
    <w:rsid w:val="00D91CB2"/>
    <w:rsid w:val="00D94AE8"/>
    <w:rsid w:val="00DA0900"/>
    <w:rsid w:val="00DA4419"/>
    <w:rsid w:val="00DA738B"/>
    <w:rsid w:val="00DB545D"/>
    <w:rsid w:val="00DC1516"/>
    <w:rsid w:val="00DC3B2E"/>
    <w:rsid w:val="00DC3EB1"/>
    <w:rsid w:val="00DC4FCF"/>
    <w:rsid w:val="00DC6A34"/>
    <w:rsid w:val="00DD2182"/>
    <w:rsid w:val="00DD5E3F"/>
    <w:rsid w:val="00DD64E9"/>
    <w:rsid w:val="00DD6965"/>
    <w:rsid w:val="00DD6C03"/>
    <w:rsid w:val="00DD6DD3"/>
    <w:rsid w:val="00DD7595"/>
    <w:rsid w:val="00DD7DC5"/>
    <w:rsid w:val="00DE3D5A"/>
    <w:rsid w:val="00DE62C3"/>
    <w:rsid w:val="00DE6448"/>
    <w:rsid w:val="00DE7C93"/>
    <w:rsid w:val="00DF1595"/>
    <w:rsid w:val="00DF2E8C"/>
    <w:rsid w:val="00DF4118"/>
    <w:rsid w:val="00DF69E2"/>
    <w:rsid w:val="00E01E18"/>
    <w:rsid w:val="00E10840"/>
    <w:rsid w:val="00E11A77"/>
    <w:rsid w:val="00E16208"/>
    <w:rsid w:val="00E1645F"/>
    <w:rsid w:val="00E24A90"/>
    <w:rsid w:val="00E27DF2"/>
    <w:rsid w:val="00E3381D"/>
    <w:rsid w:val="00E347A0"/>
    <w:rsid w:val="00E526C7"/>
    <w:rsid w:val="00E60431"/>
    <w:rsid w:val="00E63DDD"/>
    <w:rsid w:val="00E646AC"/>
    <w:rsid w:val="00E72953"/>
    <w:rsid w:val="00E757EC"/>
    <w:rsid w:val="00E75CD0"/>
    <w:rsid w:val="00E76A6F"/>
    <w:rsid w:val="00E77D98"/>
    <w:rsid w:val="00E77DB9"/>
    <w:rsid w:val="00E8166E"/>
    <w:rsid w:val="00E82EB4"/>
    <w:rsid w:val="00E84939"/>
    <w:rsid w:val="00E855BE"/>
    <w:rsid w:val="00E91579"/>
    <w:rsid w:val="00E91A8D"/>
    <w:rsid w:val="00E938E2"/>
    <w:rsid w:val="00E94627"/>
    <w:rsid w:val="00E94FB0"/>
    <w:rsid w:val="00E95299"/>
    <w:rsid w:val="00E957DB"/>
    <w:rsid w:val="00E95A5A"/>
    <w:rsid w:val="00E968EF"/>
    <w:rsid w:val="00E97429"/>
    <w:rsid w:val="00E974BC"/>
    <w:rsid w:val="00EA08FC"/>
    <w:rsid w:val="00EA11B0"/>
    <w:rsid w:val="00EA11D7"/>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34DF"/>
    <w:rsid w:val="00ED45BD"/>
    <w:rsid w:val="00ED7F59"/>
    <w:rsid w:val="00EE5133"/>
    <w:rsid w:val="00EF2DA6"/>
    <w:rsid w:val="00EF33F5"/>
    <w:rsid w:val="00EF58F9"/>
    <w:rsid w:val="00EF648D"/>
    <w:rsid w:val="00F008EE"/>
    <w:rsid w:val="00F00FFF"/>
    <w:rsid w:val="00F027F8"/>
    <w:rsid w:val="00F04F74"/>
    <w:rsid w:val="00F0533E"/>
    <w:rsid w:val="00F05701"/>
    <w:rsid w:val="00F065A8"/>
    <w:rsid w:val="00F075CF"/>
    <w:rsid w:val="00F10512"/>
    <w:rsid w:val="00F11B13"/>
    <w:rsid w:val="00F13C99"/>
    <w:rsid w:val="00F22834"/>
    <w:rsid w:val="00F235E3"/>
    <w:rsid w:val="00F24358"/>
    <w:rsid w:val="00F247EA"/>
    <w:rsid w:val="00F302B5"/>
    <w:rsid w:val="00F3273C"/>
    <w:rsid w:val="00F32996"/>
    <w:rsid w:val="00F356E8"/>
    <w:rsid w:val="00F36052"/>
    <w:rsid w:val="00F40C1B"/>
    <w:rsid w:val="00F440C4"/>
    <w:rsid w:val="00F45826"/>
    <w:rsid w:val="00F52D93"/>
    <w:rsid w:val="00F56FAC"/>
    <w:rsid w:val="00F570A5"/>
    <w:rsid w:val="00F57A2F"/>
    <w:rsid w:val="00F57E3F"/>
    <w:rsid w:val="00F57F86"/>
    <w:rsid w:val="00F61758"/>
    <w:rsid w:val="00F66683"/>
    <w:rsid w:val="00F7326C"/>
    <w:rsid w:val="00F73387"/>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D6B7A"/>
    <w:rsid w:val="00FE0D30"/>
    <w:rsid w:val="00FE1549"/>
    <w:rsid w:val="00FE24CE"/>
    <w:rsid w:val="00FE30B8"/>
    <w:rsid w:val="00FE3C3A"/>
    <w:rsid w:val="00FE5617"/>
    <w:rsid w:val="00FF0402"/>
    <w:rsid w:val="00FF2DA8"/>
    <w:rsid w:val="00FF4796"/>
    <w:rsid w:val="00FF50BD"/>
    <w:rsid w:val="00FF5D25"/>
    <w:rsid w:val="00FF7184"/>
    <w:rsid w:val="00FF7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3820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berarbeitung">
    <w:name w:val="Revision"/>
    <w:hidden/>
    <w:uiPriority w:val="99"/>
    <w:semiHidden/>
    <w:rsid w:val="00FE24CE"/>
    <w:rPr>
      <w:sz w:val="24"/>
      <w:lang w:val="en-GB" w:eastAsia="en-US"/>
    </w:rPr>
  </w:style>
  <w:style w:type="character" w:styleId="Platzhaltertext">
    <w:name w:val="Placeholder Text"/>
    <w:basedOn w:val="Absatz-Standardschriftart"/>
    <w:uiPriority w:val="99"/>
    <w:semiHidden/>
    <w:rsid w:val="00E96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7E44-D3D4-47C1-BAE8-C5542F3F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9943</Characters>
  <Application>Microsoft Office Word</Application>
  <DocSecurity>2</DocSecurity>
  <Lines>82</Lines>
  <Paragraphs>23</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11530</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2021-10-14T07:11:00Z</dcterms:created>
  <dcterms:modified xsi:type="dcterms:W3CDTF">2021-10-28T09:20:00Z</dcterms:modified>
</cp:coreProperties>
</file>