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661CD" w14:textId="77777777" w:rsidR="00392F50" w:rsidRPr="003C3D7B" w:rsidRDefault="00392F50" w:rsidP="00C901C5">
      <w:pPr>
        <w:pStyle w:val="Textkrper2"/>
        <w:ind w:right="141"/>
        <w:rPr>
          <w:noProof/>
          <w:lang w:val="de-DE"/>
        </w:rPr>
      </w:pPr>
    </w:p>
    <w:p w14:paraId="22F2A940" w14:textId="3D4A4992" w:rsidR="003C3D7B" w:rsidRPr="003C3D7B" w:rsidRDefault="00763221" w:rsidP="00C901C5">
      <w:pPr>
        <w:pStyle w:val="Textkrper2"/>
        <w:tabs>
          <w:tab w:val="left" w:pos="8505"/>
        </w:tabs>
        <w:ind w:right="141"/>
        <w:rPr>
          <w:noProof/>
          <w:lang w:val="de-DE"/>
        </w:rPr>
      </w:pPr>
      <w:r>
        <w:rPr>
          <w:noProof/>
          <w:lang w:val="de-DE"/>
        </w:rPr>
        <w:t>Farnborough International Airshow</w:t>
      </w:r>
      <w:r w:rsidR="00DE7580">
        <w:rPr>
          <w:noProof/>
          <w:lang w:val="de-DE"/>
        </w:rPr>
        <w:t>: MTU-</w:t>
      </w:r>
      <w:r w:rsidR="00B960A0">
        <w:rPr>
          <w:noProof/>
          <w:lang w:val="de-DE"/>
        </w:rPr>
        <w:t xml:space="preserve">Aufträge </w:t>
      </w:r>
      <w:r w:rsidR="008B3470">
        <w:rPr>
          <w:noProof/>
          <w:lang w:val="de-DE"/>
        </w:rPr>
        <w:t xml:space="preserve">von </w:t>
      </w:r>
      <w:r w:rsidR="00E80B37">
        <w:rPr>
          <w:noProof/>
          <w:lang w:val="de-DE"/>
        </w:rPr>
        <w:t>nahezu</w:t>
      </w:r>
      <w:r w:rsidR="00B960A0">
        <w:rPr>
          <w:noProof/>
          <w:lang w:val="de-DE"/>
        </w:rPr>
        <w:t xml:space="preserve"> </w:t>
      </w:r>
      <w:r w:rsidR="00E80B37">
        <w:rPr>
          <w:noProof/>
          <w:lang w:val="de-DE"/>
        </w:rPr>
        <w:t xml:space="preserve">600 </w:t>
      </w:r>
      <w:r w:rsidR="00B960A0">
        <w:rPr>
          <w:noProof/>
          <w:lang w:val="de-DE"/>
        </w:rPr>
        <w:t xml:space="preserve">Millionen </w:t>
      </w:r>
      <w:r w:rsidR="00E80B37">
        <w:rPr>
          <w:noProof/>
          <w:lang w:val="de-DE"/>
        </w:rPr>
        <w:t>US-</w:t>
      </w:r>
      <w:r>
        <w:rPr>
          <w:noProof/>
          <w:lang w:val="de-DE"/>
        </w:rPr>
        <w:t>Dollar</w:t>
      </w:r>
    </w:p>
    <w:p w14:paraId="5253C36E" w14:textId="77777777" w:rsidR="003C3D7B" w:rsidRPr="003C3D7B" w:rsidRDefault="003C3D7B" w:rsidP="00C901C5">
      <w:pPr>
        <w:pStyle w:val="Textkrper2"/>
        <w:tabs>
          <w:tab w:val="left" w:pos="8505"/>
        </w:tabs>
        <w:ind w:right="141"/>
        <w:rPr>
          <w:noProof/>
          <w:lang w:val="de-DE"/>
        </w:rPr>
      </w:pPr>
    </w:p>
    <w:p w14:paraId="727D423A" w14:textId="77777777" w:rsidR="004F2853" w:rsidRDefault="00763221" w:rsidP="00C901C5">
      <w:pPr>
        <w:pStyle w:val="MTUBodycopy"/>
        <w:tabs>
          <w:tab w:val="left" w:pos="8505"/>
        </w:tabs>
        <w:ind w:right="141"/>
        <w:jc w:val="both"/>
        <w:rPr>
          <w:noProof/>
          <w:sz w:val="24"/>
          <w:lang w:val="de-DE"/>
        </w:rPr>
      </w:pPr>
      <w:r>
        <w:rPr>
          <w:noProof/>
          <w:sz w:val="24"/>
          <w:lang w:val="de-DE"/>
        </w:rPr>
        <w:t>München</w:t>
      </w:r>
      <w:r w:rsidR="001E3D3D">
        <w:rPr>
          <w:noProof/>
          <w:sz w:val="24"/>
          <w:lang w:val="de-DE"/>
        </w:rPr>
        <w:t xml:space="preserve">, </w:t>
      </w:r>
      <w:r>
        <w:rPr>
          <w:noProof/>
          <w:sz w:val="24"/>
          <w:lang w:val="de-DE"/>
        </w:rPr>
        <w:t>22</w:t>
      </w:r>
      <w:r w:rsidR="00B960A0">
        <w:rPr>
          <w:noProof/>
          <w:sz w:val="24"/>
          <w:lang w:val="de-DE"/>
        </w:rPr>
        <w:t>. Ju</w:t>
      </w:r>
      <w:r>
        <w:rPr>
          <w:noProof/>
          <w:sz w:val="24"/>
          <w:lang w:val="de-DE"/>
        </w:rPr>
        <w:t>l</w:t>
      </w:r>
      <w:r w:rsidR="00B960A0">
        <w:rPr>
          <w:noProof/>
          <w:sz w:val="24"/>
          <w:lang w:val="de-DE"/>
        </w:rPr>
        <w:t xml:space="preserve">i </w:t>
      </w:r>
      <w:r w:rsidR="001E3D3D">
        <w:rPr>
          <w:noProof/>
          <w:sz w:val="24"/>
          <w:lang w:val="de-DE"/>
        </w:rPr>
        <w:t>202</w:t>
      </w:r>
      <w:r w:rsidR="00B960A0">
        <w:rPr>
          <w:noProof/>
          <w:sz w:val="24"/>
          <w:lang w:val="de-DE"/>
        </w:rPr>
        <w:t>2</w:t>
      </w:r>
      <w:r w:rsidR="001E3D3D">
        <w:rPr>
          <w:noProof/>
          <w:sz w:val="24"/>
          <w:lang w:val="de-DE"/>
        </w:rPr>
        <w:t xml:space="preserve"> </w:t>
      </w:r>
      <w:r w:rsidR="00B960A0">
        <w:rPr>
          <w:noProof/>
          <w:sz w:val="24"/>
          <w:lang w:val="de-DE"/>
        </w:rPr>
        <w:t>–</w:t>
      </w:r>
      <w:r w:rsidR="001E3D3D">
        <w:rPr>
          <w:noProof/>
          <w:sz w:val="24"/>
          <w:lang w:val="de-DE"/>
        </w:rPr>
        <w:t xml:space="preserve"> </w:t>
      </w:r>
      <w:r w:rsidR="00B960A0">
        <w:rPr>
          <w:noProof/>
          <w:sz w:val="24"/>
          <w:lang w:val="de-DE"/>
        </w:rPr>
        <w:t xml:space="preserve">Für die MTU Aero Engines hat sich die </w:t>
      </w:r>
      <w:r>
        <w:rPr>
          <w:noProof/>
          <w:sz w:val="24"/>
          <w:lang w:val="de-DE"/>
        </w:rPr>
        <w:t>Farnborough International Airshow</w:t>
      </w:r>
      <w:r w:rsidR="00B960A0">
        <w:rPr>
          <w:noProof/>
          <w:sz w:val="24"/>
          <w:lang w:val="de-DE"/>
        </w:rPr>
        <w:t xml:space="preserve"> gelohnt: Deutschlands führender Triebwerkshersteller konnte Aufträge in Höhe von </w:t>
      </w:r>
      <w:r w:rsidR="00E80B37">
        <w:rPr>
          <w:noProof/>
          <w:sz w:val="24"/>
          <w:lang w:val="de-DE"/>
        </w:rPr>
        <w:t>nahezu 600</w:t>
      </w:r>
      <w:r w:rsidR="00B960A0">
        <w:rPr>
          <w:noProof/>
          <w:sz w:val="24"/>
          <w:lang w:val="de-DE"/>
        </w:rPr>
        <w:t xml:space="preserve"> Millionen </w:t>
      </w:r>
      <w:r w:rsidR="00E80B37">
        <w:rPr>
          <w:noProof/>
          <w:sz w:val="24"/>
          <w:lang w:val="de-DE"/>
        </w:rPr>
        <w:t>US-</w:t>
      </w:r>
      <w:r>
        <w:rPr>
          <w:noProof/>
          <w:sz w:val="24"/>
          <w:lang w:val="de-DE"/>
        </w:rPr>
        <w:t>Dollar</w:t>
      </w:r>
      <w:r w:rsidR="00B960A0">
        <w:rPr>
          <w:noProof/>
          <w:sz w:val="24"/>
          <w:lang w:val="de-DE"/>
        </w:rPr>
        <w:t xml:space="preserve"> vermelden. „</w:t>
      </w:r>
      <w:r w:rsidR="004641E8">
        <w:rPr>
          <w:noProof/>
          <w:sz w:val="24"/>
          <w:lang w:val="de-DE"/>
        </w:rPr>
        <w:t>Diese Summe</w:t>
      </w:r>
      <w:r w:rsidR="00976121">
        <w:rPr>
          <w:noProof/>
          <w:sz w:val="24"/>
          <w:lang w:val="de-DE"/>
        </w:rPr>
        <w:t xml:space="preserve"> unterstreicht einmal mehr die anhaltende Erholung unserer Branche. Die Fluggesellschaften haben großen Bedarf an modernen</w:t>
      </w:r>
      <w:r w:rsidR="00CD1E7B">
        <w:rPr>
          <w:noProof/>
          <w:sz w:val="24"/>
          <w:lang w:val="de-DE"/>
        </w:rPr>
        <w:t xml:space="preserve"> Flugzeugen mit</w:t>
      </w:r>
      <w:r w:rsidR="00976121">
        <w:rPr>
          <w:noProof/>
          <w:sz w:val="24"/>
          <w:lang w:val="de-DE"/>
        </w:rPr>
        <w:t xml:space="preserve"> kraftstoffsparenden </w:t>
      </w:r>
      <w:r w:rsidR="00CD1E7B">
        <w:rPr>
          <w:noProof/>
          <w:sz w:val="24"/>
          <w:lang w:val="de-DE"/>
        </w:rPr>
        <w:t>Antrieben</w:t>
      </w:r>
      <w:r w:rsidR="00976121">
        <w:rPr>
          <w:noProof/>
          <w:sz w:val="24"/>
          <w:lang w:val="de-DE"/>
        </w:rPr>
        <w:t>“, sag</w:t>
      </w:r>
      <w:r w:rsidR="00CD1E7B">
        <w:rPr>
          <w:noProof/>
          <w:sz w:val="24"/>
          <w:lang w:val="de-DE"/>
        </w:rPr>
        <w:t>t</w:t>
      </w:r>
      <w:r w:rsidR="008B3470">
        <w:rPr>
          <w:noProof/>
          <w:sz w:val="24"/>
          <w:lang w:val="de-DE"/>
        </w:rPr>
        <w:t>e</w:t>
      </w:r>
      <w:r w:rsidR="00976121">
        <w:rPr>
          <w:noProof/>
          <w:sz w:val="24"/>
          <w:lang w:val="de-DE"/>
        </w:rPr>
        <w:t xml:space="preserve"> Reiner Winkler, Vorstandsvorsitzender der MTU Aero Engines AG.</w:t>
      </w:r>
    </w:p>
    <w:p w14:paraId="4A62A128" w14:textId="77777777" w:rsidR="004F2853" w:rsidRDefault="004F2853" w:rsidP="00C901C5">
      <w:pPr>
        <w:pStyle w:val="MTUBodycopy"/>
        <w:tabs>
          <w:tab w:val="left" w:pos="8505"/>
        </w:tabs>
        <w:ind w:right="141"/>
        <w:jc w:val="both"/>
        <w:rPr>
          <w:noProof/>
          <w:sz w:val="24"/>
          <w:lang w:val="de-DE"/>
        </w:rPr>
      </w:pPr>
    </w:p>
    <w:p w14:paraId="15D7DD99" w14:textId="0661D10B" w:rsidR="00814AFB" w:rsidRDefault="004F2853" w:rsidP="00C901C5">
      <w:pPr>
        <w:pStyle w:val="MTUBodycopy"/>
        <w:tabs>
          <w:tab w:val="left" w:pos="8505"/>
        </w:tabs>
        <w:ind w:right="141"/>
        <w:jc w:val="both"/>
        <w:rPr>
          <w:noProof/>
          <w:sz w:val="24"/>
          <w:lang w:val="de-DE"/>
        </w:rPr>
      </w:pPr>
      <w:r>
        <w:rPr>
          <w:noProof/>
          <w:sz w:val="24"/>
          <w:lang w:val="de-DE"/>
        </w:rPr>
        <w:t xml:space="preserve">Der Löwenanteil </w:t>
      </w:r>
      <w:r w:rsidR="00763221">
        <w:rPr>
          <w:noProof/>
          <w:sz w:val="24"/>
          <w:lang w:val="de-DE"/>
        </w:rPr>
        <w:t xml:space="preserve">der Messe-Aufträge </w:t>
      </w:r>
      <w:r>
        <w:rPr>
          <w:noProof/>
          <w:sz w:val="24"/>
          <w:lang w:val="de-DE"/>
        </w:rPr>
        <w:t>entfällt auf Neubestellungen des Getriebefans</w:t>
      </w:r>
      <w:r w:rsidR="00582FAC">
        <w:rPr>
          <w:noProof/>
          <w:sz w:val="24"/>
          <w:lang w:val="de-DE"/>
        </w:rPr>
        <w:t xml:space="preserve"> (GTF)</w:t>
      </w:r>
      <w:r>
        <w:rPr>
          <w:noProof/>
          <w:sz w:val="24"/>
          <w:lang w:val="de-DE"/>
        </w:rPr>
        <w:t>:</w:t>
      </w:r>
      <w:r w:rsidR="00582FAC">
        <w:rPr>
          <w:noProof/>
          <w:sz w:val="24"/>
          <w:lang w:val="de-DE"/>
        </w:rPr>
        <w:t xml:space="preserve"> Die Air Lease Corporation wird 80 A320neo-Flugzeuge mit dem GTF ausstatten, außerdem kommt der Antrieb bei 76 A220-Maschinen des Leasinggebers zum Einsatz. Für den A220 mit PW1500G-Antrieb hat sich auch Delta Air Lines entschieden: Die Fluggesellschaft hat zwölf </w:t>
      </w:r>
      <w:r w:rsidR="008B3470">
        <w:rPr>
          <w:noProof/>
          <w:sz w:val="24"/>
          <w:lang w:val="de-DE"/>
        </w:rPr>
        <w:t>Maschinen</w:t>
      </w:r>
      <w:r w:rsidR="00582FAC">
        <w:rPr>
          <w:noProof/>
          <w:sz w:val="24"/>
          <w:lang w:val="de-DE"/>
        </w:rPr>
        <w:t xml:space="preserve"> bestellt. Porter Airlines hat bei Embraer 20 E195-E2-Jets mit PW1900G-Triebwerken </w:t>
      </w:r>
      <w:r w:rsidR="00182BDD">
        <w:rPr>
          <w:noProof/>
          <w:sz w:val="24"/>
          <w:lang w:val="de-DE"/>
        </w:rPr>
        <w:t>geordert</w:t>
      </w:r>
      <w:r w:rsidR="00582FAC">
        <w:rPr>
          <w:noProof/>
          <w:sz w:val="24"/>
          <w:lang w:val="de-DE"/>
        </w:rPr>
        <w:t>.</w:t>
      </w:r>
      <w:r w:rsidR="008B3470">
        <w:rPr>
          <w:noProof/>
          <w:sz w:val="24"/>
          <w:lang w:val="de-DE"/>
        </w:rPr>
        <w:t xml:space="preserve"> </w:t>
      </w:r>
      <w:r w:rsidR="00814AFB" w:rsidRPr="00C95E90">
        <w:rPr>
          <w:noProof/>
          <w:sz w:val="24"/>
          <w:lang w:val="de-DE"/>
        </w:rPr>
        <w:t>Die MTU pro</w:t>
      </w:r>
      <w:r w:rsidR="00976121" w:rsidRPr="00C95E90">
        <w:rPr>
          <w:noProof/>
          <w:sz w:val="24"/>
          <w:lang w:val="de-DE"/>
        </w:rPr>
        <w:t>fitiert auch von einer Boeing 777</w:t>
      </w:r>
      <w:r w:rsidR="00814AFB" w:rsidRPr="00C95E90">
        <w:rPr>
          <w:noProof/>
          <w:sz w:val="24"/>
          <w:lang w:val="de-DE"/>
        </w:rPr>
        <w:t xml:space="preserve">X-Bestellung: </w:t>
      </w:r>
      <w:r w:rsidR="00C95E90">
        <w:rPr>
          <w:noProof/>
          <w:sz w:val="24"/>
          <w:lang w:val="de-DE"/>
        </w:rPr>
        <w:t xml:space="preserve">All Nippon Airways hat zwei Frachter bestellt, die von GE9X-Triebwerken angetrieben werden. </w:t>
      </w:r>
      <w:r w:rsidR="004860C7">
        <w:rPr>
          <w:noProof/>
          <w:sz w:val="24"/>
          <w:lang w:val="de-DE"/>
        </w:rPr>
        <w:t>Auch d</w:t>
      </w:r>
      <w:r w:rsidR="002270A1">
        <w:rPr>
          <w:noProof/>
          <w:sz w:val="24"/>
          <w:lang w:val="de-DE"/>
        </w:rPr>
        <w:t xml:space="preserve">ie </w:t>
      </w:r>
      <w:r w:rsidR="00C95E90">
        <w:rPr>
          <w:noProof/>
          <w:sz w:val="24"/>
          <w:lang w:val="de-DE"/>
        </w:rPr>
        <w:t xml:space="preserve">Lufthansa wird </w:t>
      </w:r>
      <w:r w:rsidR="002270A1">
        <w:rPr>
          <w:noProof/>
          <w:sz w:val="24"/>
          <w:lang w:val="de-DE"/>
        </w:rPr>
        <w:t xml:space="preserve">ihre </w:t>
      </w:r>
      <w:r w:rsidR="00C95E90">
        <w:rPr>
          <w:noProof/>
          <w:sz w:val="24"/>
          <w:lang w:val="de-DE"/>
        </w:rPr>
        <w:t>kürzlich bestellte</w:t>
      </w:r>
      <w:r w:rsidR="002270A1">
        <w:rPr>
          <w:noProof/>
          <w:sz w:val="24"/>
          <w:lang w:val="de-DE"/>
        </w:rPr>
        <w:t>n</w:t>
      </w:r>
      <w:r w:rsidR="00C95E90">
        <w:rPr>
          <w:noProof/>
          <w:sz w:val="24"/>
          <w:lang w:val="de-DE"/>
        </w:rPr>
        <w:t xml:space="preserve"> Frachtflugzeuge vom Typ Boeing 777</w:t>
      </w:r>
      <w:r w:rsidR="002270A1">
        <w:rPr>
          <w:noProof/>
          <w:sz w:val="24"/>
          <w:lang w:val="de-DE"/>
        </w:rPr>
        <w:t>-8 nun mit 14 GE9X-Triebwerken ausrüsten.</w:t>
      </w:r>
    </w:p>
    <w:p w14:paraId="25299F1F" w14:textId="77777777" w:rsidR="00E0507C" w:rsidRDefault="00E0507C" w:rsidP="00C901C5">
      <w:pPr>
        <w:pStyle w:val="MTUBodycopy"/>
        <w:tabs>
          <w:tab w:val="left" w:pos="8505"/>
        </w:tabs>
        <w:ind w:right="141"/>
        <w:jc w:val="both"/>
        <w:rPr>
          <w:noProof/>
          <w:sz w:val="24"/>
          <w:lang w:val="de-DE"/>
        </w:rPr>
      </w:pPr>
    </w:p>
    <w:p w14:paraId="155CF899" w14:textId="2B611FDD" w:rsidR="003C3D7B" w:rsidRDefault="00814AFB" w:rsidP="00C901C5">
      <w:pPr>
        <w:pStyle w:val="MTUBodycopy"/>
        <w:tabs>
          <w:tab w:val="left" w:pos="8505"/>
        </w:tabs>
        <w:ind w:right="141"/>
        <w:jc w:val="both"/>
        <w:rPr>
          <w:noProof/>
          <w:sz w:val="24"/>
          <w:lang w:val="de-DE"/>
        </w:rPr>
      </w:pPr>
      <w:r>
        <w:rPr>
          <w:noProof/>
          <w:sz w:val="24"/>
          <w:lang w:val="de-DE"/>
        </w:rPr>
        <w:t xml:space="preserve">Die MTU hält an den Getriebefan-Triebwerken Anteile zwischen 15 und 18 Prozent. Zum </w:t>
      </w:r>
      <w:r w:rsidR="00976121">
        <w:rPr>
          <w:noProof/>
          <w:sz w:val="24"/>
          <w:lang w:val="de-DE"/>
        </w:rPr>
        <w:t>G</w:t>
      </w:r>
      <w:r>
        <w:rPr>
          <w:noProof/>
          <w:sz w:val="24"/>
          <w:lang w:val="de-DE"/>
        </w:rPr>
        <w:t>etriebefan steuert d</w:t>
      </w:r>
      <w:r w:rsidR="00976121">
        <w:rPr>
          <w:noProof/>
          <w:sz w:val="24"/>
          <w:lang w:val="de-DE"/>
        </w:rPr>
        <w:t>as Unternehmen</w:t>
      </w:r>
      <w:r>
        <w:rPr>
          <w:noProof/>
          <w:sz w:val="24"/>
          <w:lang w:val="de-DE"/>
        </w:rPr>
        <w:t xml:space="preserve"> Schlüsselkomponenten wie die schnelllaufende Niederdruckturbine </w:t>
      </w:r>
      <w:r w:rsidR="00DE7580">
        <w:rPr>
          <w:noProof/>
          <w:sz w:val="24"/>
          <w:lang w:val="de-DE"/>
        </w:rPr>
        <w:t xml:space="preserve">sowie verschiedene Stufen des Hochdruckvderdichters </w:t>
      </w:r>
      <w:r>
        <w:rPr>
          <w:noProof/>
          <w:sz w:val="24"/>
          <w:lang w:val="de-DE"/>
        </w:rPr>
        <w:t xml:space="preserve">bei und </w:t>
      </w:r>
      <w:r w:rsidR="00976121">
        <w:rPr>
          <w:noProof/>
          <w:sz w:val="24"/>
          <w:lang w:val="de-DE"/>
        </w:rPr>
        <w:t>ist für</w:t>
      </w:r>
      <w:r>
        <w:rPr>
          <w:noProof/>
          <w:sz w:val="24"/>
          <w:lang w:val="de-DE"/>
        </w:rPr>
        <w:t xml:space="preserve"> die Endmontage eines Drittels </w:t>
      </w:r>
      <w:r w:rsidR="00976121">
        <w:rPr>
          <w:noProof/>
          <w:sz w:val="24"/>
          <w:lang w:val="de-DE"/>
        </w:rPr>
        <w:t>aller PW1100G-JM-Serientriebwerk</w:t>
      </w:r>
      <w:r>
        <w:rPr>
          <w:noProof/>
          <w:sz w:val="24"/>
          <w:lang w:val="de-DE"/>
        </w:rPr>
        <w:t>e für die A320neo</w:t>
      </w:r>
      <w:r w:rsidR="00976121">
        <w:rPr>
          <w:noProof/>
          <w:sz w:val="24"/>
          <w:lang w:val="de-DE"/>
        </w:rPr>
        <w:t xml:space="preserve"> verantwortlich</w:t>
      </w:r>
      <w:r>
        <w:rPr>
          <w:noProof/>
          <w:sz w:val="24"/>
          <w:lang w:val="de-DE"/>
        </w:rPr>
        <w:t xml:space="preserve">. </w:t>
      </w:r>
      <w:r w:rsidR="00A25EA5">
        <w:rPr>
          <w:noProof/>
          <w:sz w:val="24"/>
          <w:lang w:val="de-DE"/>
        </w:rPr>
        <w:t>Beim Boeing 777X-Antrieb GE9X kommt das</w:t>
      </w:r>
      <w:r w:rsidR="00F651A0">
        <w:rPr>
          <w:noProof/>
          <w:sz w:val="24"/>
          <w:lang w:val="de-DE"/>
        </w:rPr>
        <w:t xml:space="preserve"> Turbinenzwischengehäuse </w:t>
      </w:r>
      <w:r w:rsidR="00A25EA5">
        <w:rPr>
          <w:noProof/>
          <w:sz w:val="24"/>
          <w:lang w:val="de-DE"/>
        </w:rPr>
        <w:t>von der MTU</w:t>
      </w:r>
      <w:r w:rsidR="00F651A0">
        <w:rPr>
          <w:noProof/>
          <w:sz w:val="24"/>
          <w:lang w:val="de-DE"/>
        </w:rPr>
        <w:t xml:space="preserve">. </w:t>
      </w:r>
      <w:r w:rsidR="00A25EA5">
        <w:rPr>
          <w:noProof/>
          <w:sz w:val="24"/>
          <w:lang w:val="de-DE"/>
        </w:rPr>
        <w:t>Es</w:t>
      </w:r>
      <w:r w:rsidR="00F651A0">
        <w:rPr>
          <w:noProof/>
          <w:sz w:val="24"/>
          <w:lang w:val="de-DE"/>
        </w:rPr>
        <w:t xml:space="preserve"> entspricht einem P</w:t>
      </w:r>
      <w:r w:rsidR="00B80E38">
        <w:rPr>
          <w:noProof/>
          <w:sz w:val="24"/>
          <w:lang w:val="de-DE"/>
        </w:rPr>
        <w:t>rogrammanteil von vier Prozent.</w:t>
      </w:r>
    </w:p>
    <w:p w14:paraId="3222A471" w14:textId="77777777" w:rsidR="00526264" w:rsidRDefault="00526264" w:rsidP="00C901C5">
      <w:pPr>
        <w:pStyle w:val="MTUBodycopy"/>
        <w:tabs>
          <w:tab w:val="left" w:pos="8505"/>
        </w:tabs>
        <w:ind w:right="141"/>
        <w:jc w:val="both"/>
        <w:rPr>
          <w:noProof/>
          <w:sz w:val="24"/>
          <w:lang w:val="de-DE"/>
        </w:rPr>
      </w:pPr>
    </w:p>
    <w:p w14:paraId="760B4D3A"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2A9EA388"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22F45CD1" w14:textId="4078C22E" w:rsidR="00C86FCD" w:rsidRDefault="00C86FCD" w:rsidP="00DD64E9">
      <w:pPr>
        <w:rPr>
          <w:rFonts w:ascii="CorpoS" w:hAnsi="CorpoS"/>
          <w:noProof/>
          <w:sz w:val="20"/>
          <w:lang w:val="de-DE"/>
        </w:rPr>
      </w:pPr>
    </w:p>
    <w:p w14:paraId="73BE3CD1" w14:textId="77777777" w:rsidR="00DE7580" w:rsidRDefault="00DE7580" w:rsidP="00DD64E9">
      <w:pPr>
        <w:rPr>
          <w:rFonts w:ascii="CorpoS" w:hAnsi="CorpoS"/>
          <w:noProof/>
          <w:sz w:val="20"/>
          <w:lang w:val="de-DE"/>
        </w:rPr>
      </w:pPr>
    </w:p>
    <w:p w14:paraId="0571769D"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14:paraId="6CE014D6" w14:textId="77777777" w:rsidR="00CA6EF8" w:rsidRPr="003C3D7B" w:rsidRDefault="00C86FCD" w:rsidP="00CA6EF8">
      <w:pPr>
        <w:rPr>
          <w:rFonts w:ascii="CorpoS" w:hAnsi="CorpoS"/>
          <w:noProof/>
          <w:sz w:val="20"/>
          <w:lang w:val="de-DE"/>
        </w:rPr>
      </w:pPr>
      <w:r w:rsidRPr="003C3D7B">
        <w:rPr>
          <w:rFonts w:ascii="CorpoS" w:hAnsi="CorpoS"/>
          <w:noProof/>
          <w:sz w:val="20"/>
          <w:lang w:val="de-DE"/>
        </w:rPr>
        <w:lastRenderedPageBreak/>
        <w:t>Markus Wölfle</w:t>
      </w:r>
    </w:p>
    <w:p w14:paraId="6B8C5199"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01233E2A"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4014942B"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70851753" w14:textId="77777777"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14:paraId="7E5B0940" w14:textId="77777777" w:rsidR="00B82EB7" w:rsidRPr="003C3D7B" w:rsidRDefault="00B82EB7" w:rsidP="00B82EB7">
      <w:pPr>
        <w:rPr>
          <w:rFonts w:ascii="CorpoS" w:hAnsi="CorpoS"/>
          <w:noProof/>
          <w:sz w:val="20"/>
          <w:u w:val="single"/>
          <w:lang w:val="de-DE"/>
        </w:rPr>
      </w:pPr>
      <w:bookmarkStart w:id="0" w:name="_GoBack"/>
      <w:bookmarkEnd w:id="0"/>
    </w:p>
    <w:p w14:paraId="057EE778"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DE7580">
      <w:headerReference w:type="default" r:id="rId9"/>
      <w:footerReference w:type="default" r:id="rId10"/>
      <w:headerReference w:type="first" r:id="rId11"/>
      <w:footerReference w:type="first" r:id="rId12"/>
      <w:type w:val="continuous"/>
      <w:pgSz w:w="11907" w:h="16840" w:code="9"/>
      <w:pgMar w:top="2835" w:right="1134" w:bottom="1702"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66ED" w14:textId="77777777" w:rsidR="00A4792A" w:rsidRDefault="00A4792A">
      <w:r>
        <w:separator/>
      </w:r>
    </w:p>
  </w:endnote>
  <w:endnote w:type="continuationSeparator" w:id="0">
    <w:p w14:paraId="5E9F4CB3"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049E"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4C1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065153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0EC2A1C"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5F185E6B"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4EB1E70"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AFB9A4A"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0C3E" w14:textId="77777777" w:rsidR="00A4792A" w:rsidRDefault="00A4792A">
      <w:r>
        <w:separator/>
      </w:r>
    </w:p>
  </w:footnote>
  <w:footnote w:type="continuationSeparator" w:id="0">
    <w:p w14:paraId="4805BDB9"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A1DE"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AB9E70" wp14:editId="6AEA381B">
          <wp:simplePos x="0" y="0"/>
          <wp:positionH relativeFrom="column">
            <wp:posOffset>0</wp:posOffset>
          </wp:positionH>
          <wp:positionV relativeFrom="paragraph">
            <wp:posOffset>6985</wp:posOffset>
          </wp:positionV>
          <wp:extent cx="1616710" cy="789940"/>
          <wp:effectExtent l="0" t="0" r="0" b="0"/>
          <wp:wrapNone/>
          <wp:docPr id="2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3BC8"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67742BE" wp14:editId="18485243">
          <wp:simplePos x="0" y="0"/>
          <wp:positionH relativeFrom="column">
            <wp:posOffset>0</wp:posOffset>
          </wp:positionH>
          <wp:positionV relativeFrom="paragraph">
            <wp:posOffset>6985</wp:posOffset>
          </wp:positionV>
          <wp:extent cx="1630680" cy="792480"/>
          <wp:effectExtent l="0" t="0" r="0" b="0"/>
          <wp:wrapNone/>
          <wp:docPr id="3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D41DE"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98882A6" wp14:editId="7508D785">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3AF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20004D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82A6"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28B63AF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20004D1"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F40F283" wp14:editId="29A48CB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F84D62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82BDD"/>
    <w:rsid w:val="0019251F"/>
    <w:rsid w:val="00197CF5"/>
    <w:rsid w:val="001B1AE3"/>
    <w:rsid w:val="001C403E"/>
    <w:rsid w:val="001C53D3"/>
    <w:rsid w:val="001E3D3D"/>
    <w:rsid w:val="001E5784"/>
    <w:rsid w:val="002037D9"/>
    <w:rsid w:val="0021191F"/>
    <w:rsid w:val="0021633B"/>
    <w:rsid w:val="00226271"/>
    <w:rsid w:val="002270A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358A"/>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641E8"/>
    <w:rsid w:val="00481764"/>
    <w:rsid w:val="0048499B"/>
    <w:rsid w:val="004860C7"/>
    <w:rsid w:val="00494B76"/>
    <w:rsid w:val="004966DC"/>
    <w:rsid w:val="004A092E"/>
    <w:rsid w:val="004C5E01"/>
    <w:rsid w:val="004D5603"/>
    <w:rsid w:val="004E5F27"/>
    <w:rsid w:val="004E6343"/>
    <w:rsid w:val="004F201A"/>
    <w:rsid w:val="004F2853"/>
    <w:rsid w:val="004F5EC6"/>
    <w:rsid w:val="00507889"/>
    <w:rsid w:val="00526264"/>
    <w:rsid w:val="0054532F"/>
    <w:rsid w:val="00556F66"/>
    <w:rsid w:val="005660B5"/>
    <w:rsid w:val="00572802"/>
    <w:rsid w:val="00582FAC"/>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C4513"/>
    <w:rsid w:val="006D1A73"/>
    <w:rsid w:val="006D1C26"/>
    <w:rsid w:val="0070360F"/>
    <w:rsid w:val="00706897"/>
    <w:rsid w:val="00712F46"/>
    <w:rsid w:val="007174B3"/>
    <w:rsid w:val="00742FCE"/>
    <w:rsid w:val="00751755"/>
    <w:rsid w:val="00754703"/>
    <w:rsid w:val="00757670"/>
    <w:rsid w:val="00760EE0"/>
    <w:rsid w:val="00761A2B"/>
    <w:rsid w:val="00763221"/>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4AFB"/>
    <w:rsid w:val="008168F1"/>
    <w:rsid w:val="00826A11"/>
    <w:rsid w:val="00837CB6"/>
    <w:rsid w:val="00840ED4"/>
    <w:rsid w:val="00846648"/>
    <w:rsid w:val="0086021C"/>
    <w:rsid w:val="00872C46"/>
    <w:rsid w:val="008879C4"/>
    <w:rsid w:val="00890BCF"/>
    <w:rsid w:val="008A1E29"/>
    <w:rsid w:val="008A6D05"/>
    <w:rsid w:val="008B3470"/>
    <w:rsid w:val="008C134B"/>
    <w:rsid w:val="008C518C"/>
    <w:rsid w:val="008C7FB8"/>
    <w:rsid w:val="008D3F07"/>
    <w:rsid w:val="008D5F6B"/>
    <w:rsid w:val="008D7CDD"/>
    <w:rsid w:val="008E0D45"/>
    <w:rsid w:val="008E3B41"/>
    <w:rsid w:val="009065B5"/>
    <w:rsid w:val="009451BC"/>
    <w:rsid w:val="00952A6E"/>
    <w:rsid w:val="009539DF"/>
    <w:rsid w:val="0096124D"/>
    <w:rsid w:val="00976121"/>
    <w:rsid w:val="00982B92"/>
    <w:rsid w:val="00991ADF"/>
    <w:rsid w:val="00992CD8"/>
    <w:rsid w:val="0099749E"/>
    <w:rsid w:val="009B5CF5"/>
    <w:rsid w:val="009D2AF7"/>
    <w:rsid w:val="009D35D0"/>
    <w:rsid w:val="009E0A17"/>
    <w:rsid w:val="009E2D48"/>
    <w:rsid w:val="009E49E6"/>
    <w:rsid w:val="009E62BA"/>
    <w:rsid w:val="00A22432"/>
    <w:rsid w:val="00A25EA5"/>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0E38"/>
    <w:rsid w:val="00B82437"/>
    <w:rsid w:val="00B82EB7"/>
    <w:rsid w:val="00B87AF1"/>
    <w:rsid w:val="00B91284"/>
    <w:rsid w:val="00B960A0"/>
    <w:rsid w:val="00BA047C"/>
    <w:rsid w:val="00BA481C"/>
    <w:rsid w:val="00BB5475"/>
    <w:rsid w:val="00BC0EFB"/>
    <w:rsid w:val="00BC26AC"/>
    <w:rsid w:val="00BE540B"/>
    <w:rsid w:val="00BE5BA9"/>
    <w:rsid w:val="00BF1A89"/>
    <w:rsid w:val="00BF53D7"/>
    <w:rsid w:val="00C022E0"/>
    <w:rsid w:val="00C11F8D"/>
    <w:rsid w:val="00C25296"/>
    <w:rsid w:val="00C345E3"/>
    <w:rsid w:val="00C422B3"/>
    <w:rsid w:val="00C44076"/>
    <w:rsid w:val="00C551E1"/>
    <w:rsid w:val="00C66179"/>
    <w:rsid w:val="00C8225F"/>
    <w:rsid w:val="00C84921"/>
    <w:rsid w:val="00C86FCD"/>
    <w:rsid w:val="00C901C5"/>
    <w:rsid w:val="00C93DED"/>
    <w:rsid w:val="00C95E90"/>
    <w:rsid w:val="00C969D6"/>
    <w:rsid w:val="00CA6EF8"/>
    <w:rsid w:val="00CA7DD6"/>
    <w:rsid w:val="00CB0939"/>
    <w:rsid w:val="00CB178B"/>
    <w:rsid w:val="00CB6EA6"/>
    <w:rsid w:val="00CD1E7B"/>
    <w:rsid w:val="00CD2469"/>
    <w:rsid w:val="00CE3E0B"/>
    <w:rsid w:val="00CE5748"/>
    <w:rsid w:val="00CE6DDA"/>
    <w:rsid w:val="00CF1657"/>
    <w:rsid w:val="00CF276E"/>
    <w:rsid w:val="00D0223E"/>
    <w:rsid w:val="00D21373"/>
    <w:rsid w:val="00D31922"/>
    <w:rsid w:val="00D76C52"/>
    <w:rsid w:val="00D91CB2"/>
    <w:rsid w:val="00D94AE8"/>
    <w:rsid w:val="00DB545D"/>
    <w:rsid w:val="00DB7EB0"/>
    <w:rsid w:val="00DC3B2E"/>
    <w:rsid w:val="00DC4FCF"/>
    <w:rsid w:val="00DD5D7C"/>
    <w:rsid w:val="00DD64E9"/>
    <w:rsid w:val="00DD6C03"/>
    <w:rsid w:val="00DE7580"/>
    <w:rsid w:val="00DF2E8C"/>
    <w:rsid w:val="00E0507C"/>
    <w:rsid w:val="00E10840"/>
    <w:rsid w:val="00E1645F"/>
    <w:rsid w:val="00E347A0"/>
    <w:rsid w:val="00E646AC"/>
    <w:rsid w:val="00E72953"/>
    <w:rsid w:val="00E757EC"/>
    <w:rsid w:val="00E77DB9"/>
    <w:rsid w:val="00E80B37"/>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651A0"/>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E964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E80B37"/>
    <w:rPr>
      <w:sz w:val="16"/>
      <w:szCs w:val="16"/>
    </w:rPr>
  </w:style>
  <w:style w:type="paragraph" w:styleId="Kommentartext">
    <w:name w:val="annotation text"/>
    <w:basedOn w:val="Standard"/>
    <w:link w:val="KommentartextZchn"/>
    <w:rsid w:val="00E80B37"/>
    <w:rPr>
      <w:sz w:val="20"/>
    </w:rPr>
  </w:style>
  <w:style w:type="character" w:customStyle="1" w:styleId="KommentartextZchn">
    <w:name w:val="Kommentartext Zchn"/>
    <w:basedOn w:val="Absatz-Standardschriftart"/>
    <w:link w:val="Kommentartext"/>
    <w:rsid w:val="00E80B37"/>
    <w:rPr>
      <w:lang w:val="en-GB" w:eastAsia="en-US"/>
    </w:rPr>
  </w:style>
  <w:style w:type="paragraph" w:styleId="Kommentarthema">
    <w:name w:val="annotation subject"/>
    <w:basedOn w:val="Kommentartext"/>
    <w:next w:val="Kommentartext"/>
    <w:link w:val="KommentarthemaZchn"/>
    <w:rsid w:val="00E80B37"/>
    <w:rPr>
      <w:b/>
      <w:bCs/>
    </w:rPr>
  </w:style>
  <w:style w:type="character" w:customStyle="1" w:styleId="KommentarthemaZchn">
    <w:name w:val="Kommentarthema Zchn"/>
    <w:basedOn w:val="KommentartextZchn"/>
    <w:link w:val="Kommentarthema"/>
    <w:rsid w:val="00E80B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2721</Characters>
  <Application>Microsoft Office Word</Application>
  <DocSecurity>2</DocSecurity>
  <Lines>22</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3092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2022-06-02T12:16:00Z</dcterms:created>
  <dcterms:modified xsi:type="dcterms:W3CDTF">2022-07-21T19:57:00Z</dcterms:modified>
</cp:coreProperties>
</file>