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1B" w:rsidRPr="009A3A91" w:rsidRDefault="006C7C86" w:rsidP="00302095">
      <w:pPr>
        <w:tabs>
          <w:tab w:val="left" w:pos="9072"/>
        </w:tabs>
        <w:spacing w:line="300" w:lineRule="exact"/>
        <w:ind w:right="283"/>
        <w:jc w:val="both"/>
        <w:rPr>
          <w:rFonts w:ascii="CorpoS" w:hAnsi="CorpoS"/>
          <w:b/>
          <w:sz w:val="22"/>
          <w:szCs w:val="22"/>
          <w:lang w:val="de-DE"/>
        </w:rPr>
      </w:pPr>
      <w:r w:rsidRPr="009A3A91">
        <w:rPr>
          <w:rFonts w:ascii="CorpoS" w:hAnsi="CorpoS"/>
          <w:b/>
          <w:sz w:val="22"/>
          <w:szCs w:val="22"/>
          <w:lang w:val="de-DE"/>
        </w:rPr>
        <w:t xml:space="preserve">MTU </w:t>
      </w:r>
      <w:proofErr w:type="spellStart"/>
      <w:r w:rsidRPr="009A3A91">
        <w:rPr>
          <w:rFonts w:ascii="CorpoS" w:hAnsi="CorpoS"/>
          <w:b/>
          <w:sz w:val="22"/>
          <w:szCs w:val="22"/>
          <w:lang w:val="de-DE"/>
        </w:rPr>
        <w:t>Aero</w:t>
      </w:r>
      <w:proofErr w:type="spellEnd"/>
      <w:r w:rsidRPr="009A3A91">
        <w:rPr>
          <w:rFonts w:ascii="CorpoS" w:hAnsi="CorpoS"/>
          <w:b/>
          <w:sz w:val="22"/>
          <w:szCs w:val="22"/>
          <w:lang w:val="de-DE"/>
        </w:rPr>
        <w:t xml:space="preserve"> </w:t>
      </w:r>
      <w:proofErr w:type="spellStart"/>
      <w:r w:rsidRPr="009A3A91">
        <w:rPr>
          <w:rFonts w:ascii="CorpoS" w:hAnsi="CorpoS"/>
          <w:b/>
          <w:sz w:val="22"/>
          <w:szCs w:val="22"/>
          <w:lang w:val="de-DE"/>
        </w:rPr>
        <w:t>Engines</w:t>
      </w:r>
      <w:proofErr w:type="spellEnd"/>
      <w:r w:rsidRPr="009A3A91">
        <w:rPr>
          <w:rFonts w:ascii="CorpoS" w:hAnsi="CorpoS"/>
          <w:b/>
          <w:sz w:val="22"/>
          <w:szCs w:val="22"/>
          <w:lang w:val="de-DE"/>
        </w:rPr>
        <w:t xml:space="preserve"> </w:t>
      </w:r>
      <w:r w:rsidR="00E526C7" w:rsidRPr="009A3A91">
        <w:rPr>
          <w:rFonts w:ascii="CorpoS" w:hAnsi="CorpoS"/>
          <w:b/>
          <w:sz w:val="22"/>
          <w:szCs w:val="22"/>
          <w:lang w:val="de-DE"/>
        </w:rPr>
        <w:t xml:space="preserve">AG </w:t>
      </w:r>
      <w:r w:rsidR="009A3A91">
        <w:rPr>
          <w:rFonts w:ascii="CorpoS" w:hAnsi="CorpoS"/>
          <w:b/>
          <w:sz w:val="22"/>
          <w:szCs w:val="22"/>
          <w:lang w:val="de-DE"/>
        </w:rPr>
        <w:t>erhöht nach neun Monaten</w:t>
      </w:r>
      <w:r w:rsidR="009A3A91" w:rsidRPr="009A3A91">
        <w:rPr>
          <w:rFonts w:ascii="CorpoS" w:hAnsi="CorpoS"/>
          <w:b/>
          <w:sz w:val="22"/>
          <w:szCs w:val="22"/>
          <w:lang w:val="de-DE"/>
        </w:rPr>
        <w:t xml:space="preserve"> </w:t>
      </w:r>
      <w:r w:rsidR="001B5DC2" w:rsidRPr="009A3A91">
        <w:rPr>
          <w:rFonts w:ascii="CorpoS" w:hAnsi="CorpoS"/>
          <w:b/>
          <w:sz w:val="22"/>
          <w:szCs w:val="22"/>
          <w:lang w:val="de-DE"/>
        </w:rPr>
        <w:t>die</w:t>
      </w:r>
      <w:r w:rsidR="005C4EC9" w:rsidRPr="009A3A91">
        <w:rPr>
          <w:rFonts w:ascii="CorpoS" w:hAnsi="CorpoS"/>
          <w:b/>
          <w:sz w:val="22"/>
          <w:szCs w:val="22"/>
          <w:lang w:val="de-DE"/>
        </w:rPr>
        <w:t xml:space="preserve"> Prognose</w:t>
      </w:r>
    </w:p>
    <w:p w:rsidR="00526131" w:rsidRPr="009A3A91" w:rsidRDefault="00976657" w:rsidP="00027B52">
      <w:pPr>
        <w:numPr>
          <w:ilvl w:val="0"/>
          <w:numId w:val="12"/>
        </w:numPr>
        <w:tabs>
          <w:tab w:val="left" w:pos="9072"/>
        </w:tabs>
        <w:spacing w:line="300" w:lineRule="exact"/>
        <w:ind w:right="283"/>
        <w:jc w:val="both"/>
        <w:rPr>
          <w:rFonts w:ascii="CorpoS" w:hAnsi="CorpoS"/>
          <w:b/>
          <w:sz w:val="22"/>
          <w:szCs w:val="22"/>
          <w:lang w:val="de-DE"/>
        </w:rPr>
      </w:pPr>
      <w:r w:rsidRPr="009A3A91">
        <w:rPr>
          <w:rFonts w:ascii="CorpoS" w:hAnsi="CorpoS"/>
          <w:b/>
          <w:sz w:val="22"/>
          <w:szCs w:val="22"/>
          <w:lang w:val="de-DE"/>
        </w:rPr>
        <w:t>Umsatz 202</w:t>
      </w:r>
      <w:r w:rsidR="009A3A91" w:rsidRPr="009A3A91">
        <w:rPr>
          <w:rFonts w:ascii="CorpoS" w:hAnsi="CorpoS"/>
          <w:b/>
          <w:sz w:val="22"/>
          <w:szCs w:val="22"/>
          <w:lang w:val="de-DE"/>
        </w:rPr>
        <w:t>2</w:t>
      </w:r>
      <w:r w:rsidRPr="009A3A91">
        <w:rPr>
          <w:rFonts w:ascii="CorpoS" w:hAnsi="CorpoS"/>
          <w:b/>
          <w:sz w:val="22"/>
          <w:szCs w:val="22"/>
          <w:lang w:val="de-DE"/>
        </w:rPr>
        <w:t xml:space="preserve"> soll </w:t>
      </w:r>
      <w:r w:rsidR="009A3A91" w:rsidRPr="009A3A91">
        <w:rPr>
          <w:rFonts w:ascii="CorpoS" w:hAnsi="CorpoS"/>
          <w:b/>
          <w:sz w:val="22"/>
          <w:szCs w:val="22"/>
          <w:lang w:val="de-DE"/>
        </w:rPr>
        <w:t>5,4</w:t>
      </w:r>
      <w:r w:rsidRPr="009A3A91">
        <w:rPr>
          <w:rFonts w:ascii="CorpoS" w:hAnsi="CorpoS"/>
          <w:b/>
          <w:sz w:val="22"/>
          <w:szCs w:val="22"/>
          <w:lang w:val="de-DE"/>
        </w:rPr>
        <w:t xml:space="preserve"> bis </w:t>
      </w:r>
      <w:r w:rsidR="009A3A91" w:rsidRPr="009A3A91">
        <w:rPr>
          <w:rFonts w:ascii="CorpoS" w:hAnsi="CorpoS"/>
          <w:b/>
          <w:sz w:val="22"/>
          <w:szCs w:val="22"/>
          <w:lang w:val="de-DE"/>
        </w:rPr>
        <w:t>5,5</w:t>
      </w:r>
      <w:r w:rsidRPr="009A3A91">
        <w:rPr>
          <w:rFonts w:ascii="CorpoS" w:hAnsi="CorpoS"/>
          <w:b/>
          <w:sz w:val="22"/>
          <w:szCs w:val="22"/>
          <w:lang w:val="de-DE"/>
        </w:rPr>
        <w:t xml:space="preserve"> Mrd. € erreichen</w:t>
      </w:r>
    </w:p>
    <w:p w:rsidR="00976657" w:rsidRPr="009A3A91" w:rsidRDefault="00976657" w:rsidP="00027B52">
      <w:pPr>
        <w:numPr>
          <w:ilvl w:val="0"/>
          <w:numId w:val="12"/>
        </w:numPr>
        <w:tabs>
          <w:tab w:val="left" w:pos="9072"/>
        </w:tabs>
        <w:spacing w:line="300" w:lineRule="exact"/>
        <w:ind w:right="283"/>
        <w:jc w:val="both"/>
        <w:rPr>
          <w:rFonts w:ascii="CorpoS" w:hAnsi="CorpoS"/>
          <w:b/>
          <w:sz w:val="22"/>
          <w:szCs w:val="22"/>
          <w:lang w:val="de-DE"/>
        </w:rPr>
      </w:pPr>
      <w:r w:rsidRPr="009A3A91">
        <w:rPr>
          <w:rFonts w:ascii="CorpoS" w:hAnsi="CorpoS"/>
          <w:b/>
          <w:sz w:val="22"/>
          <w:szCs w:val="22"/>
          <w:lang w:val="de-DE"/>
        </w:rPr>
        <w:t>Bereinigte</w:t>
      </w:r>
      <w:r w:rsidR="009A3A91" w:rsidRPr="009A3A91">
        <w:rPr>
          <w:rFonts w:ascii="CorpoS" w:hAnsi="CorpoS"/>
          <w:b/>
          <w:sz w:val="22"/>
          <w:szCs w:val="22"/>
          <w:lang w:val="de-DE"/>
        </w:rPr>
        <w:t>s</w:t>
      </w:r>
      <w:r w:rsidRPr="009A3A91">
        <w:rPr>
          <w:rFonts w:ascii="CorpoS" w:hAnsi="CorpoS"/>
          <w:b/>
          <w:sz w:val="22"/>
          <w:szCs w:val="22"/>
          <w:lang w:val="de-DE"/>
        </w:rPr>
        <w:t xml:space="preserve"> EBIT</w:t>
      </w:r>
      <w:r w:rsidR="009A3A91" w:rsidRPr="009A3A91">
        <w:rPr>
          <w:rFonts w:ascii="CorpoS" w:hAnsi="CorpoS"/>
          <w:b/>
          <w:sz w:val="22"/>
          <w:szCs w:val="22"/>
          <w:lang w:val="de-DE"/>
        </w:rPr>
        <w:t xml:space="preserve"> dürfte im niedrigen Dreißiger-Prozentbereich steigen</w:t>
      </w:r>
    </w:p>
    <w:p w:rsidR="00472A29" w:rsidRPr="009A3A91" w:rsidRDefault="00472A29" w:rsidP="00472A29">
      <w:pPr>
        <w:numPr>
          <w:ilvl w:val="0"/>
          <w:numId w:val="12"/>
        </w:numPr>
        <w:tabs>
          <w:tab w:val="left" w:pos="9072"/>
        </w:tabs>
        <w:spacing w:line="300" w:lineRule="exact"/>
        <w:ind w:right="141"/>
        <w:jc w:val="both"/>
        <w:rPr>
          <w:rFonts w:ascii="CorpoS" w:hAnsi="CorpoS"/>
          <w:b/>
          <w:sz w:val="22"/>
          <w:szCs w:val="22"/>
          <w:lang w:val="de-DE"/>
        </w:rPr>
      </w:pPr>
      <w:r w:rsidRPr="009A3A91">
        <w:rPr>
          <w:rFonts w:ascii="CorpoS" w:hAnsi="CorpoS"/>
          <w:b/>
          <w:sz w:val="22"/>
          <w:szCs w:val="22"/>
          <w:lang w:val="de-DE"/>
        </w:rPr>
        <w:t>CCR dürfte</w:t>
      </w:r>
      <w:r w:rsidR="009A3A91" w:rsidRPr="009A3A91">
        <w:rPr>
          <w:rFonts w:ascii="CorpoS" w:hAnsi="CorpoS"/>
          <w:b/>
          <w:sz w:val="22"/>
          <w:szCs w:val="22"/>
          <w:lang w:val="de-DE"/>
        </w:rPr>
        <w:t xml:space="preserve"> zwischen 60 und 70 % liegen</w:t>
      </w:r>
    </w:p>
    <w:p w:rsidR="00C51A14" w:rsidRPr="009A3A91" w:rsidRDefault="00C51A14" w:rsidP="00C51A14">
      <w:pPr>
        <w:tabs>
          <w:tab w:val="left" w:pos="9072"/>
        </w:tabs>
        <w:spacing w:line="300" w:lineRule="exact"/>
        <w:ind w:right="283"/>
        <w:jc w:val="both"/>
        <w:rPr>
          <w:rFonts w:ascii="CorpoS" w:hAnsi="CorpoS"/>
          <w:b/>
          <w:sz w:val="22"/>
          <w:szCs w:val="22"/>
          <w:lang w:val="de-DE"/>
        </w:rPr>
      </w:pPr>
    </w:p>
    <w:p w:rsidR="00D63569" w:rsidRPr="00D63569" w:rsidRDefault="00C51A14" w:rsidP="00C51A14">
      <w:pPr>
        <w:tabs>
          <w:tab w:val="left" w:pos="7655"/>
          <w:tab w:val="left" w:pos="9072"/>
        </w:tabs>
        <w:spacing w:line="300" w:lineRule="exact"/>
        <w:ind w:right="283"/>
        <w:jc w:val="both"/>
        <w:rPr>
          <w:rFonts w:ascii="CorpoS" w:hAnsi="CorpoS"/>
          <w:sz w:val="22"/>
          <w:szCs w:val="22"/>
          <w:lang w:val="de-DE"/>
        </w:rPr>
      </w:pPr>
      <w:r w:rsidRPr="00D63569">
        <w:rPr>
          <w:rFonts w:ascii="CorpoS" w:hAnsi="CorpoS"/>
          <w:sz w:val="22"/>
          <w:szCs w:val="22"/>
          <w:lang w:val="de-DE"/>
        </w:rPr>
        <w:t xml:space="preserve">München, </w:t>
      </w:r>
      <w:r w:rsidR="005A5BBE" w:rsidRPr="00D63569">
        <w:rPr>
          <w:rFonts w:ascii="CorpoS" w:hAnsi="CorpoS"/>
          <w:sz w:val="22"/>
          <w:szCs w:val="22"/>
          <w:lang w:val="de-DE"/>
        </w:rPr>
        <w:t>27</w:t>
      </w:r>
      <w:r w:rsidRPr="00D63569">
        <w:rPr>
          <w:rFonts w:ascii="CorpoS" w:hAnsi="CorpoS"/>
          <w:sz w:val="22"/>
          <w:szCs w:val="22"/>
          <w:lang w:val="de-DE"/>
        </w:rPr>
        <w:t xml:space="preserve">. </w:t>
      </w:r>
      <w:r w:rsidR="002C2460" w:rsidRPr="00D63569">
        <w:rPr>
          <w:rFonts w:ascii="CorpoS" w:hAnsi="CorpoS"/>
          <w:sz w:val="22"/>
          <w:szCs w:val="22"/>
          <w:lang w:val="de-DE"/>
        </w:rPr>
        <w:t>Oktober</w:t>
      </w:r>
      <w:r w:rsidRPr="00D63569">
        <w:rPr>
          <w:rFonts w:ascii="CorpoS" w:hAnsi="CorpoS"/>
          <w:sz w:val="22"/>
          <w:szCs w:val="22"/>
          <w:lang w:val="de-DE"/>
        </w:rPr>
        <w:t xml:space="preserve"> 20</w:t>
      </w:r>
      <w:r w:rsidR="00711D21" w:rsidRPr="00D63569">
        <w:rPr>
          <w:rFonts w:ascii="CorpoS" w:hAnsi="CorpoS"/>
          <w:sz w:val="22"/>
          <w:szCs w:val="22"/>
          <w:lang w:val="de-DE"/>
        </w:rPr>
        <w:t>2</w:t>
      </w:r>
      <w:r w:rsidR="005A5BBE" w:rsidRPr="00D63569">
        <w:rPr>
          <w:rFonts w:ascii="CorpoS" w:hAnsi="CorpoS"/>
          <w:sz w:val="22"/>
          <w:szCs w:val="22"/>
          <w:lang w:val="de-DE"/>
        </w:rPr>
        <w:t>2</w:t>
      </w:r>
      <w:r w:rsidRPr="00D63569">
        <w:rPr>
          <w:rFonts w:ascii="CorpoS" w:hAnsi="CorpoS"/>
          <w:sz w:val="22"/>
          <w:szCs w:val="22"/>
          <w:lang w:val="de-DE"/>
        </w:rPr>
        <w:t xml:space="preserve"> – Die MTU </w:t>
      </w:r>
      <w:proofErr w:type="spellStart"/>
      <w:r w:rsidRPr="00D63569">
        <w:rPr>
          <w:rFonts w:ascii="CorpoS" w:hAnsi="CorpoS"/>
          <w:sz w:val="22"/>
          <w:szCs w:val="22"/>
          <w:lang w:val="de-DE"/>
        </w:rPr>
        <w:t>Aero</w:t>
      </w:r>
      <w:proofErr w:type="spellEnd"/>
      <w:r w:rsidRPr="00D63569">
        <w:rPr>
          <w:rFonts w:ascii="CorpoS" w:hAnsi="CorpoS"/>
          <w:sz w:val="22"/>
          <w:szCs w:val="22"/>
          <w:lang w:val="de-DE"/>
        </w:rPr>
        <w:t xml:space="preserve"> </w:t>
      </w:r>
      <w:proofErr w:type="spellStart"/>
      <w:r w:rsidRPr="00D63569">
        <w:rPr>
          <w:rFonts w:ascii="CorpoS" w:hAnsi="CorpoS"/>
          <w:sz w:val="22"/>
          <w:szCs w:val="22"/>
          <w:lang w:val="de-DE"/>
        </w:rPr>
        <w:t>Engines</w:t>
      </w:r>
      <w:proofErr w:type="spellEnd"/>
      <w:r w:rsidRPr="00D63569">
        <w:rPr>
          <w:rFonts w:ascii="CorpoS" w:hAnsi="CorpoS"/>
          <w:sz w:val="22"/>
          <w:szCs w:val="22"/>
          <w:lang w:val="de-DE"/>
        </w:rPr>
        <w:t xml:space="preserve"> AG hat</w:t>
      </w:r>
      <w:r w:rsidR="0083457F" w:rsidRPr="00D63569">
        <w:rPr>
          <w:rFonts w:ascii="CorpoS" w:hAnsi="CorpoS"/>
          <w:sz w:val="22"/>
          <w:szCs w:val="22"/>
          <w:lang w:val="de-DE"/>
        </w:rPr>
        <w:t xml:space="preserve"> </w:t>
      </w:r>
      <w:r w:rsidR="00E020A6">
        <w:rPr>
          <w:rFonts w:ascii="CorpoS" w:hAnsi="CorpoS"/>
          <w:sz w:val="22"/>
          <w:szCs w:val="22"/>
          <w:lang w:val="de-DE"/>
        </w:rPr>
        <w:t xml:space="preserve">ihre Geschäftszahlen für die </w:t>
      </w:r>
      <w:r w:rsidR="0083457F" w:rsidRPr="00D63569">
        <w:rPr>
          <w:rFonts w:ascii="CorpoS" w:hAnsi="CorpoS"/>
          <w:sz w:val="22"/>
          <w:szCs w:val="22"/>
          <w:lang w:val="de-DE"/>
        </w:rPr>
        <w:t xml:space="preserve">ersten neun Monate 2022 </w:t>
      </w:r>
      <w:r w:rsidR="00E020A6">
        <w:rPr>
          <w:rFonts w:ascii="CorpoS" w:hAnsi="CorpoS"/>
          <w:sz w:val="22"/>
          <w:szCs w:val="22"/>
          <w:lang w:val="de-DE"/>
        </w:rPr>
        <w:t>vorgelegt</w:t>
      </w:r>
      <w:r w:rsidR="0083457F" w:rsidRPr="00D63569">
        <w:rPr>
          <w:rFonts w:ascii="CorpoS" w:hAnsi="CorpoS"/>
          <w:sz w:val="22"/>
          <w:szCs w:val="22"/>
          <w:lang w:val="de-DE"/>
        </w:rPr>
        <w:t>:</w:t>
      </w:r>
      <w:r w:rsidR="00574B13" w:rsidRPr="00D63569">
        <w:rPr>
          <w:rFonts w:ascii="CorpoS" w:hAnsi="CorpoS"/>
          <w:sz w:val="22"/>
          <w:szCs w:val="22"/>
          <w:lang w:val="de-DE"/>
        </w:rPr>
        <w:t xml:space="preserve"> </w:t>
      </w:r>
      <w:r w:rsidR="0052685E">
        <w:rPr>
          <w:rFonts w:ascii="CorpoS" w:hAnsi="CorpoS"/>
          <w:sz w:val="22"/>
          <w:szCs w:val="22"/>
          <w:lang w:val="de-DE"/>
        </w:rPr>
        <w:t>Das Unternehmen erzielte ein</w:t>
      </w:r>
      <w:r w:rsidR="00574B13" w:rsidRPr="00D63569">
        <w:rPr>
          <w:rFonts w:ascii="CorpoS" w:hAnsi="CorpoS"/>
          <w:sz w:val="22"/>
          <w:szCs w:val="22"/>
          <w:lang w:val="de-DE"/>
        </w:rPr>
        <w:t xml:space="preserve"> Umsatz</w:t>
      </w:r>
      <w:r w:rsidR="0052685E">
        <w:rPr>
          <w:rFonts w:ascii="CorpoS" w:hAnsi="CorpoS"/>
          <w:sz w:val="22"/>
          <w:szCs w:val="22"/>
          <w:lang w:val="de-DE"/>
        </w:rPr>
        <w:t xml:space="preserve">plus von </w:t>
      </w:r>
      <w:r w:rsidR="00D63569" w:rsidRPr="00D63569">
        <w:rPr>
          <w:rFonts w:ascii="CorpoS" w:hAnsi="CorpoS"/>
          <w:sz w:val="22"/>
          <w:szCs w:val="22"/>
          <w:lang w:val="de-DE"/>
        </w:rPr>
        <w:t xml:space="preserve">27 % </w:t>
      </w:r>
      <w:r w:rsidR="0052685E">
        <w:rPr>
          <w:rFonts w:ascii="CorpoS" w:hAnsi="CorpoS"/>
          <w:sz w:val="22"/>
          <w:szCs w:val="22"/>
          <w:lang w:val="de-DE"/>
        </w:rPr>
        <w:t>auf</w:t>
      </w:r>
      <w:r w:rsidR="00D63569" w:rsidRPr="00D63569">
        <w:rPr>
          <w:rFonts w:ascii="CorpoS" w:hAnsi="CorpoS"/>
          <w:sz w:val="22"/>
          <w:szCs w:val="22"/>
          <w:lang w:val="de-DE"/>
        </w:rPr>
        <w:t xml:space="preserve"> </w:t>
      </w:r>
      <w:r w:rsidR="00574B13" w:rsidRPr="00D63569">
        <w:rPr>
          <w:rFonts w:ascii="CorpoS" w:hAnsi="CorpoS"/>
          <w:sz w:val="22"/>
          <w:szCs w:val="22"/>
          <w:lang w:val="de-DE"/>
        </w:rPr>
        <w:t>3</w:t>
      </w:r>
      <w:r w:rsidR="00D63569" w:rsidRPr="00D63569">
        <w:rPr>
          <w:rFonts w:ascii="CorpoS" w:hAnsi="CorpoS"/>
          <w:sz w:val="22"/>
          <w:szCs w:val="22"/>
          <w:lang w:val="de-DE"/>
        </w:rPr>
        <w:t>,</w:t>
      </w:r>
      <w:r w:rsidR="00672FAB">
        <w:rPr>
          <w:rFonts w:ascii="CorpoS" w:hAnsi="CorpoS"/>
          <w:sz w:val="22"/>
          <w:szCs w:val="22"/>
          <w:lang w:val="de-DE"/>
        </w:rPr>
        <w:t>82</w:t>
      </w:r>
      <w:r w:rsidR="00D63569" w:rsidRPr="00D63569">
        <w:rPr>
          <w:rFonts w:ascii="CorpoS" w:hAnsi="CorpoS"/>
          <w:sz w:val="22"/>
          <w:szCs w:val="22"/>
          <w:lang w:val="de-DE"/>
        </w:rPr>
        <w:t xml:space="preserve"> Mrd. €</w:t>
      </w:r>
      <w:r w:rsidR="0052685E">
        <w:rPr>
          <w:rFonts w:ascii="CorpoS" w:hAnsi="CorpoS"/>
          <w:sz w:val="22"/>
          <w:szCs w:val="22"/>
          <w:lang w:val="de-DE"/>
        </w:rPr>
        <w:t xml:space="preserve"> (1-9/2021:</w:t>
      </w:r>
      <w:r w:rsidR="00D63569" w:rsidRPr="00D63569">
        <w:rPr>
          <w:rFonts w:ascii="CorpoS" w:hAnsi="CorpoS"/>
          <w:sz w:val="22"/>
          <w:szCs w:val="22"/>
          <w:lang w:val="de-DE"/>
        </w:rPr>
        <w:t xml:space="preserve"> 3,</w:t>
      </w:r>
      <w:r w:rsidR="00672FAB">
        <w:rPr>
          <w:rFonts w:ascii="CorpoS" w:hAnsi="CorpoS"/>
          <w:sz w:val="22"/>
          <w:szCs w:val="22"/>
          <w:lang w:val="de-DE"/>
        </w:rPr>
        <w:t>01</w:t>
      </w:r>
      <w:r w:rsidR="00D63569" w:rsidRPr="00D63569">
        <w:rPr>
          <w:rFonts w:ascii="CorpoS" w:hAnsi="CorpoS"/>
          <w:sz w:val="22"/>
          <w:szCs w:val="22"/>
          <w:lang w:val="de-DE"/>
        </w:rPr>
        <w:t xml:space="preserve"> Mrd. €</w:t>
      </w:r>
      <w:r w:rsidR="0052685E">
        <w:rPr>
          <w:rFonts w:ascii="CorpoS" w:hAnsi="CorpoS"/>
          <w:sz w:val="22"/>
          <w:szCs w:val="22"/>
          <w:lang w:val="de-DE"/>
        </w:rPr>
        <w:t>)</w:t>
      </w:r>
      <w:r w:rsidR="00FD13FE" w:rsidRPr="00D63569">
        <w:rPr>
          <w:rFonts w:ascii="CorpoS" w:hAnsi="CorpoS"/>
          <w:sz w:val="22"/>
          <w:szCs w:val="22"/>
          <w:lang w:val="de-DE"/>
        </w:rPr>
        <w:t xml:space="preserve">. </w:t>
      </w:r>
      <w:r w:rsidR="0065120E" w:rsidRPr="00D63569">
        <w:rPr>
          <w:rFonts w:ascii="CorpoS" w:hAnsi="CorpoS"/>
          <w:sz w:val="22"/>
          <w:szCs w:val="22"/>
          <w:lang w:val="de-DE"/>
        </w:rPr>
        <w:t xml:space="preserve">Das </w:t>
      </w:r>
      <w:r w:rsidRPr="00D63569">
        <w:rPr>
          <w:rFonts w:ascii="CorpoS" w:hAnsi="CorpoS"/>
          <w:sz w:val="22"/>
          <w:szCs w:val="22"/>
          <w:lang w:val="de-DE"/>
        </w:rPr>
        <w:t>operative Ergebnis</w:t>
      </w:r>
      <w:r w:rsidRPr="00D63569">
        <w:rPr>
          <w:rStyle w:val="Funotenzeichen"/>
          <w:rFonts w:ascii="CorpoS" w:hAnsi="CorpoS"/>
          <w:b/>
          <w:sz w:val="22"/>
          <w:szCs w:val="22"/>
          <w:lang w:val="de-DE"/>
        </w:rPr>
        <w:footnoteReference w:id="1"/>
      </w:r>
      <w:r w:rsidR="0076577A" w:rsidRPr="00D63569">
        <w:rPr>
          <w:rFonts w:ascii="CorpoS" w:hAnsi="CorpoS"/>
          <w:sz w:val="22"/>
          <w:szCs w:val="22"/>
          <w:lang w:val="de-DE"/>
        </w:rPr>
        <w:t xml:space="preserve"> </w:t>
      </w:r>
      <w:r w:rsidR="00D63569" w:rsidRPr="00D63569">
        <w:rPr>
          <w:rFonts w:ascii="CorpoS" w:hAnsi="CorpoS"/>
          <w:sz w:val="22"/>
          <w:szCs w:val="22"/>
          <w:lang w:val="de-DE"/>
        </w:rPr>
        <w:t xml:space="preserve">legte um </w:t>
      </w:r>
      <w:r w:rsidR="00574B13" w:rsidRPr="00D63569">
        <w:rPr>
          <w:rFonts w:ascii="CorpoS" w:hAnsi="CorpoS"/>
          <w:sz w:val="22"/>
          <w:szCs w:val="22"/>
          <w:lang w:val="de-DE"/>
        </w:rPr>
        <w:t xml:space="preserve"> </w:t>
      </w:r>
      <w:r w:rsidR="00D63569" w:rsidRPr="00D63569">
        <w:rPr>
          <w:rFonts w:ascii="CorpoS" w:hAnsi="CorpoS"/>
          <w:sz w:val="22"/>
          <w:szCs w:val="22"/>
          <w:lang w:val="de-DE"/>
        </w:rPr>
        <w:t>46 % von 307 Mio. € auf 448 Mio. € zu.</w:t>
      </w:r>
      <w:r w:rsidR="00C33551" w:rsidRPr="00D63569">
        <w:rPr>
          <w:rFonts w:ascii="CorpoS" w:hAnsi="CorpoS"/>
          <w:sz w:val="22"/>
          <w:szCs w:val="22"/>
          <w:lang w:val="de-DE"/>
        </w:rPr>
        <w:t xml:space="preserve"> </w:t>
      </w:r>
      <w:r w:rsidR="00D63569" w:rsidRPr="00D63569">
        <w:rPr>
          <w:rFonts w:ascii="CorpoS" w:hAnsi="CorpoS"/>
          <w:sz w:val="22"/>
          <w:szCs w:val="22"/>
          <w:lang w:val="de-DE"/>
        </w:rPr>
        <w:t>Die bereinigte EBIT-Marge erreichte nach neun Monaten 11,7 % (1-9/2021: 10,2 %). Der</w:t>
      </w:r>
      <w:r w:rsidR="000B624E" w:rsidRPr="00D63569">
        <w:rPr>
          <w:rFonts w:ascii="CorpoS" w:hAnsi="CorpoS"/>
          <w:sz w:val="22"/>
          <w:szCs w:val="22"/>
          <w:lang w:val="de-DE"/>
        </w:rPr>
        <w:t xml:space="preserve"> </w:t>
      </w:r>
      <w:r w:rsidRPr="00D63569">
        <w:rPr>
          <w:rFonts w:ascii="CorpoS" w:hAnsi="CorpoS"/>
          <w:sz w:val="22"/>
          <w:szCs w:val="22"/>
          <w:lang w:val="de-DE"/>
        </w:rPr>
        <w:t>Gewinn nach Steuern</w:t>
      </w:r>
      <w:r w:rsidRPr="00D63569">
        <w:rPr>
          <w:rStyle w:val="Funotenzeichen"/>
          <w:rFonts w:ascii="CorpoS" w:hAnsi="CorpoS"/>
          <w:b/>
          <w:sz w:val="22"/>
          <w:szCs w:val="22"/>
          <w:lang w:val="de-DE"/>
        </w:rPr>
        <w:footnoteReference w:id="2"/>
      </w:r>
      <w:r w:rsidRPr="00D63569">
        <w:rPr>
          <w:rFonts w:ascii="CorpoS" w:hAnsi="CorpoS"/>
          <w:sz w:val="22"/>
          <w:szCs w:val="22"/>
          <w:lang w:val="de-DE"/>
        </w:rPr>
        <w:t xml:space="preserve"> </w:t>
      </w:r>
      <w:r w:rsidR="00D63569" w:rsidRPr="00D63569">
        <w:rPr>
          <w:rFonts w:ascii="CorpoS" w:hAnsi="CorpoS"/>
          <w:sz w:val="22"/>
          <w:szCs w:val="22"/>
          <w:lang w:val="de-DE"/>
        </w:rPr>
        <w:t xml:space="preserve">entwickelte sich analog zum bereinigten EBIT und </w:t>
      </w:r>
      <w:r w:rsidR="0052685E">
        <w:rPr>
          <w:rFonts w:ascii="CorpoS" w:hAnsi="CorpoS"/>
          <w:sz w:val="22"/>
          <w:szCs w:val="22"/>
          <w:lang w:val="de-DE"/>
        </w:rPr>
        <w:t xml:space="preserve">stieg um </w:t>
      </w:r>
      <w:r w:rsidR="00D63569" w:rsidRPr="00D63569">
        <w:rPr>
          <w:rFonts w:ascii="CorpoS" w:hAnsi="CorpoS"/>
          <w:sz w:val="22"/>
          <w:szCs w:val="22"/>
          <w:lang w:val="de-DE"/>
        </w:rPr>
        <w:t xml:space="preserve">45 % auf 319 Mio. € </w:t>
      </w:r>
      <w:r w:rsidR="000B624E" w:rsidRPr="00D63569">
        <w:rPr>
          <w:rFonts w:ascii="CorpoS" w:hAnsi="CorpoS"/>
          <w:sz w:val="22"/>
          <w:szCs w:val="22"/>
          <w:lang w:val="de-DE"/>
        </w:rPr>
        <w:t>(1-9/202</w:t>
      </w:r>
      <w:r w:rsidR="00D63569" w:rsidRPr="00D63569">
        <w:rPr>
          <w:rFonts w:ascii="CorpoS" w:hAnsi="CorpoS"/>
          <w:sz w:val="22"/>
          <w:szCs w:val="22"/>
          <w:lang w:val="de-DE"/>
        </w:rPr>
        <w:t>1</w:t>
      </w:r>
      <w:r w:rsidR="000B624E" w:rsidRPr="00D63569">
        <w:rPr>
          <w:rFonts w:ascii="CorpoS" w:hAnsi="CorpoS"/>
          <w:sz w:val="22"/>
          <w:szCs w:val="22"/>
          <w:lang w:val="de-DE"/>
        </w:rPr>
        <w:t>: 2</w:t>
      </w:r>
      <w:r w:rsidR="00D63569" w:rsidRPr="00D63569">
        <w:rPr>
          <w:rFonts w:ascii="CorpoS" w:hAnsi="CorpoS"/>
          <w:sz w:val="22"/>
          <w:szCs w:val="22"/>
          <w:lang w:val="de-DE"/>
        </w:rPr>
        <w:t>20</w:t>
      </w:r>
      <w:r w:rsidR="000B624E" w:rsidRPr="00D63569">
        <w:rPr>
          <w:rFonts w:ascii="CorpoS" w:hAnsi="CorpoS"/>
          <w:sz w:val="22"/>
          <w:szCs w:val="22"/>
          <w:lang w:val="de-DE"/>
        </w:rPr>
        <w:t xml:space="preserve"> Mio. €)</w:t>
      </w:r>
      <w:r w:rsidR="00C33551" w:rsidRPr="00D63569">
        <w:rPr>
          <w:rFonts w:ascii="CorpoS" w:hAnsi="CorpoS"/>
          <w:sz w:val="22"/>
          <w:szCs w:val="22"/>
          <w:lang w:val="de-DE"/>
        </w:rPr>
        <w:t>.</w:t>
      </w:r>
      <w:r w:rsidR="00D63569" w:rsidRPr="00D63569">
        <w:rPr>
          <w:rFonts w:ascii="CorpoS" w:hAnsi="CorpoS"/>
          <w:sz w:val="22"/>
          <w:szCs w:val="22"/>
          <w:lang w:val="de-DE"/>
        </w:rPr>
        <w:t xml:space="preserve"> </w:t>
      </w:r>
    </w:p>
    <w:p w:rsidR="00C51A14" w:rsidRPr="00D63569" w:rsidRDefault="00C51A14" w:rsidP="00C51A14">
      <w:pPr>
        <w:tabs>
          <w:tab w:val="left" w:pos="7655"/>
          <w:tab w:val="left" w:pos="9072"/>
        </w:tabs>
        <w:spacing w:line="300" w:lineRule="exact"/>
        <w:ind w:right="283"/>
        <w:jc w:val="both"/>
        <w:rPr>
          <w:rFonts w:ascii="CorpoS" w:hAnsi="CorpoS"/>
          <w:sz w:val="22"/>
          <w:szCs w:val="22"/>
          <w:lang w:val="de-DE"/>
        </w:rPr>
      </w:pPr>
    </w:p>
    <w:p w:rsidR="007600C0" w:rsidRPr="00D63569" w:rsidRDefault="00C51A14" w:rsidP="007600C0">
      <w:pPr>
        <w:tabs>
          <w:tab w:val="left" w:pos="7655"/>
          <w:tab w:val="left" w:pos="9072"/>
        </w:tabs>
        <w:spacing w:line="300" w:lineRule="exact"/>
        <w:ind w:right="283"/>
        <w:jc w:val="both"/>
        <w:rPr>
          <w:rFonts w:ascii="CorpoS" w:hAnsi="CorpoS"/>
          <w:sz w:val="22"/>
          <w:szCs w:val="22"/>
          <w:lang w:val="de-DE"/>
        </w:rPr>
      </w:pPr>
      <w:r w:rsidRPr="00D63569">
        <w:rPr>
          <w:rFonts w:ascii="CorpoS" w:hAnsi="CorpoS"/>
          <w:sz w:val="22"/>
          <w:szCs w:val="22"/>
          <w:lang w:val="de-DE"/>
        </w:rPr>
        <w:t>„</w:t>
      </w:r>
      <w:r w:rsidR="009A3A91" w:rsidRPr="00D63569">
        <w:rPr>
          <w:rFonts w:ascii="CorpoS" w:hAnsi="CorpoS"/>
          <w:sz w:val="22"/>
          <w:szCs w:val="22"/>
          <w:lang w:val="de-DE"/>
        </w:rPr>
        <w:t xml:space="preserve">Auf der Basis dieser guten Ergebnisse und des aktuellen Umfelds, das unter anderem von einer günstigen Dollarkursentwicklung geprägt ist, können wir unsere Prognose heute </w:t>
      </w:r>
      <w:r w:rsidR="00E73842">
        <w:rPr>
          <w:rFonts w:ascii="CorpoS" w:hAnsi="CorpoS"/>
          <w:sz w:val="22"/>
          <w:szCs w:val="22"/>
          <w:lang w:val="de-DE"/>
        </w:rPr>
        <w:t>erhöhen</w:t>
      </w:r>
      <w:r w:rsidR="009A3A91" w:rsidRPr="00D63569">
        <w:rPr>
          <w:rFonts w:ascii="CorpoS" w:hAnsi="CorpoS"/>
          <w:sz w:val="22"/>
          <w:szCs w:val="22"/>
          <w:lang w:val="de-DE"/>
        </w:rPr>
        <w:t xml:space="preserve">“, sagte </w:t>
      </w:r>
      <w:r w:rsidR="008C5630" w:rsidRPr="00D63569">
        <w:rPr>
          <w:rFonts w:ascii="CorpoS" w:hAnsi="CorpoS"/>
          <w:sz w:val="22"/>
          <w:szCs w:val="22"/>
          <w:lang w:val="de-DE"/>
        </w:rPr>
        <w:t>Reiner Winkler, Vorstandsvorsitzender der MTU Aero Engines</w:t>
      </w:r>
      <w:r w:rsidR="009330AF" w:rsidRPr="00D63569">
        <w:rPr>
          <w:rFonts w:ascii="CorpoS" w:hAnsi="CorpoS"/>
          <w:sz w:val="22"/>
          <w:szCs w:val="22"/>
          <w:lang w:val="de-DE"/>
        </w:rPr>
        <w:t xml:space="preserve"> AG</w:t>
      </w:r>
      <w:r w:rsidR="008C5630" w:rsidRPr="00D63569">
        <w:rPr>
          <w:rFonts w:ascii="CorpoS" w:hAnsi="CorpoS"/>
          <w:sz w:val="22"/>
          <w:szCs w:val="22"/>
          <w:lang w:val="de-DE"/>
        </w:rPr>
        <w:t>. „</w:t>
      </w:r>
      <w:r w:rsidR="00BF3B42" w:rsidRPr="00D63569">
        <w:rPr>
          <w:rFonts w:ascii="CorpoS" w:hAnsi="CorpoS"/>
          <w:sz w:val="22"/>
          <w:szCs w:val="22"/>
          <w:lang w:val="de-DE"/>
        </w:rPr>
        <w:t>Wir</w:t>
      </w:r>
      <w:r w:rsidR="009A3A91" w:rsidRPr="00D63569">
        <w:rPr>
          <w:rFonts w:ascii="CorpoS" w:hAnsi="CorpoS"/>
          <w:sz w:val="22"/>
          <w:szCs w:val="22"/>
          <w:lang w:val="de-DE"/>
        </w:rPr>
        <w:t xml:space="preserve"> rechnen jetzt mit einem Jahresumsatz zwischen 5,4 und 5,5 Mrd. €. Das bereinigte EBIT dürfte im niedrigen Dreißiger-Prozentbereich steigen. </w:t>
      </w:r>
      <w:r w:rsidR="009821A2">
        <w:rPr>
          <w:rFonts w:ascii="CorpoS" w:hAnsi="CorpoS"/>
          <w:sz w:val="22"/>
          <w:szCs w:val="22"/>
          <w:lang w:val="de-DE"/>
        </w:rPr>
        <w:t>D</w:t>
      </w:r>
      <w:r w:rsidR="00584230" w:rsidRPr="00D63569">
        <w:rPr>
          <w:rFonts w:ascii="CorpoS" w:hAnsi="CorpoS"/>
          <w:sz w:val="22"/>
          <w:szCs w:val="22"/>
          <w:lang w:val="de-DE"/>
        </w:rPr>
        <w:t xml:space="preserve">ie </w:t>
      </w:r>
      <w:r w:rsidR="009A3A91" w:rsidRPr="00D63569">
        <w:rPr>
          <w:rFonts w:ascii="CorpoS" w:hAnsi="CorpoS"/>
          <w:sz w:val="22"/>
          <w:szCs w:val="22"/>
          <w:lang w:val="de-DE"/>
        </w:rPr>
        <w:t xml:space="preserve">Cash </w:t>
      </w:r>
      <w:proofErr w:type="spellStart"/>
      <w:r w:rsidR="009A3A91" w:rsidRPr="00D63569">
        <w:rPr>
          <w:rFonts w:ascii="CorpoS" w:hAnsi="CorpoS"/>
          <w:sz w:val="22"/>
          <w:szCs w:val="22"/>
          <w:lang w:val="de-DE"/>
        </w:rPr>
        <w:t>Conversion</w:t>
      </w:r>
      <w:proofErr w:type="spellEnd"/>
      <w:r w:rsidR="009A3A91" w:rsidRPr="00D63569">
        <w:rPr>
          <w:rFonts w:ascii="CorpoS" w:hAnsi="CorpoS"/>
          <w:sz w:val="22"/>
          <w:szCs w:val="22"/>
          <w:lang w:val="de-DE"/>
        </w:rPr>
        <w:t xml:space="preserve"> Rate </w:t>
      </w:r>
      <w:r w:rsidR="009821A2">
        <w:rPr>
          <w:rFonts w:ascii="CorpoS" w:hAnsi="CorpoS"/>
          <w:sz w:val="22"/>
          <w:szCs w:val="22"/>
          <w:lang w:val="de-DE"/>
        </w:rPr>
        <w:t xml:space="preserve">erwarten </w:t>
      </w:r>
      <w:r w:rsidR="00584230" w:rsidRPr="00D63569">
        <w:rPr>
          <w:rFonts w:ascii="CorpoS" w:hAnsi="CorpoS"/>
          <w:sz w:val="22"/>
          <w:szCs w:val="22"/>
          <w:lang w:val="de-DE"/>
        </w:rPr>
        <w:t xml:space="preserve">wir </w:t>
      </w:r>
      <w:r w:rsidR="009821A2">
        <w:rPr>
          <w:rFonts w:ascii="CorpoS" w:hAnsi="CorpoS"/>
          <w:sz w:val="22"/>
          <w:szCs w:val="22"/>
          <w:lang w:val="de-DE"/>
        </w:rPr>
        <w:t>2022</w:t>
      </w:r>
      <w:r w:rsidR="00584230" w:rsidRPr="00D63569">
        <w:rPr>
          <w:rFonts w:ascii="CorpoS" w:hAnsi="CorpoS"/>
          <w:sz w:val="22"/>
          <w:szCs w:val="22"/>
          <w:lang w:val="de-DE"/>
        </w:rPr>
        <w:t xml:space="preserve"> zwischen 60 und 70 %.</w:t>
      </w:r>
      <w:r w:rsidR="009A3A91" w:rsidRPr="00D63569">
        <w:rPr>
          <w:rFonts w:ascii="CorpoS" w:hAnsi="CorpoS"/>
          <w:sz w:val="22"/>
          <w:szCs w:val="22"/>
          <w:lang w:val="de-DE"/>
        </w:rPr>
        <w:t xml:space="preserve">“ Bisher </w:t>
      </w:r>
      <w:r w:rsidR="00584230" w:rsidRPr="00D63569">
        <w:rPr>
          <w:rFonts w:ascii="CorpoS" w:hAnsi="CorpoS"/>
          <w:sz w:val="22"/>
          <w:szCs w:val="22"/>
          <w:lang w:val="de-DE"/>
        </w:rPr>
        <w:t xml:space="preserve">war die MTU </w:t>
      </w:r>
      <w:r w:rsidR="001F14E6">
        <w:rPr>
          <w:rFonts w:ascii="CorpoS" w:hAnsi="CorpoS"/>
          <w:sz w:val="22"/>
          <w:szCs w:val="22"/>
          <w:lang w:val="de-DE"/>
        </w:rPr>
        <w:t xml:space="preserve">für das Gesamtjahr 2022 </w:t>
      </w:r>
      <w:r w:rsidR="00584230" w:rsidRPr="00D63569">
        <w:rPr>
          <w:rFonts w:ascii="CorpoS" w:hAnsi="CorpoS"/>
          <w:sz w:val="22"/>
          <w:szCs w:val="22"/>
          <w:lang w:val="de-DE"/>
        </w:rPr>
        <w:t xml:space="preserve">von 5,2 bis 5,4 Mrd. € Umsatz ausgegangen. Die Zunahme des bereinigten EBIT war im mittleren Zwanziger-Prozentbereich erwartet worden. Das Unternehmen </w:t>
      </w:r>
      <w:r w:rsidR="00E020A6">
        <w:rPr>
          <w:rFonts w:ascii="CorpoS" w:hAnsi="CorpoS"/>
          <w:sz w:val="22"/>
          <w:szCs w:val="22"/>
          <w:lang w:val="de-DE"/>
        </w:rPr>
        <w:t>geht</w:t>
      </w:r>
      <w:r w:rsidR="00584230" w:rsidRPr="00D63569">
        <w:rPr>
          <w:rFonts w:ascii="CorpoS" w:hAnsi="CorpoS"/>
          <w:sz w:val="22"/>
          <w:szCs w:val="22"/>
          <w:lang w:val="de-DE"/>
        </w:rPr>
        <w:t xml:space="preserve"> wie bisher</w:t>
      </w:r>
      <w:r w:rsidR="00E020A6">
        <w:rPr>
          <w:rFonts w:ascii="CorpoS" w:hAnsi="CorpoS"/>
          <w:sz w:val="22"/>
          <w:szCs w:val="22"/>
          <w:lang w:val="de-DE"/>
        </w:rPr>
        <w:t xml:space="preserve"> davon aus</w:t>
      </w:r>
      <w:r w:rsidR="00584230" w:rsidRPr="00D63569">
        <w:rPr>
          <w:rFonts w:ascii="CorpoS" w:hAnsi="CorpoS"/>
          <w:sz w:val="22"/>
          <w:szCs w:val="22"/>
          <w:lang w:val="de-DE"/>
        </w:rPr>
        <w:t xml:space="preserve">, dass sich der bereinigte Gewinn nach Steuern </w:t>
      </w:r>
      <w:r w:rsidR="001F14E6">
        <w:rPr>
          <w:rFonts w:ascii="CorpoS" w:hAnsi="CorpoS"/>
          <w:sz w:val="22"/>
          <w:szCs w:val="22"/>
          <w:lang w:val="de-DE"/>
        </w:rPr>
        <w:t xml:space="preserve">2022 </w:t>
      </w:r>
      <w:r w:rsidR="00584230" w:rsidRPr="00D63569">
        <w:rPr>
          <w:rFonts w:ascii="CorpoS" w:hAnsi="CorpoS"/>
          <w:sz w:val="22"/>
          <w:szCs w:val="22"/>
          <w:lang w:val="de-DE"/>
        </w:rPr>
        <w:t>analog zum operativen Ergebnis entwickelt</w:t>
      </w:r>
      <w:r w:rsidR="00E020A6">
        <w:rPr>
          <w:rFonts w:ascii="CorpoS" w:hAnsi="CorpoS"/>
          <w:sz w:val="22"/>
          <w:szCs w:val="22"/>
          <w:lang w:val="de-DE"/>
        </w:rPr>
        <w:t>.</w:t>
      </w:r>
      <w:r w:rsidR="00BF3B42" w:rsidRPr="00D63569">
        <w:rPr>
          <w:rFonts w:ascii="CorpoS" w:hAnsi="CorpoS"/>
          <w:sz w:val="22"/>
          <w:szCs w:val="22"/>
          <w:lang w:val="de-DE"/>
        </w:rPr>
        <w:t xml:space="preserve"> </w:t>
      </w:r>
      <w:r w:rsidR="00E020A6">
        <w:rPr>
          <w:rFonts w:ascii="CorpoS" w:hAnsi="CorpoS"/>
          <w:sz w:val="22"/>
          <w:szCs w:val="22"/>
          <w:lang w:val="de-DE"/>
        </w:rPr>
        <w:t>Die</w:t>
      </w:r>
      <w:r w:rsidR="00584230" w:rsidRPr="00D63569">
        <w:rPr>
          <w:rFonts w:ascii="CorpoS" w:hAnsi="CorpoS"/>
          <w:sz w:val="22"/>
          <w:szCs w:val="22"/>
          <w:lang w:val="de-DE"/>
        </w:rPr>
        <w:t xml:space="preserve"> Cash </w:t>
      </w:r>
      <w:proofErr w:type="spellStart"/>
      <w:r w:rsidR="00584230" w:rsidRPr="00D63569">
        <w:rPr>
          <w:rFonts w:ascii="CorpoS" w:hAnsi="CorpoS"/>
          <w:sz w:val="22"/>
          <w:szCs w:val="22"/>
          <w:lang w:val="de-DE"/>
        </w:rPr>
        <w:t>Conversion</w:t>
      </w:r>
      <w:proofErr w:type="spellEnd"/>
      <w:r w:rsidR="00584230" w:rsidRPr="00D63569">
        <w:rPr>
          <w:rFonts w:ascii="CorpoS" w:hAnsi="CorpoS"/>
          <w:sz w:val="22"/>
          <w:szCs w:val="22"/>
          <w:lang w:val="de-DE"/>
        </w:rPr>
        <w:t xml:space="preserve"> Rate, die das Verhältnis von Free Cashflow zu bereinigtem Gewinn nach Steuern ausdrückt, hatte die MTU </w:t>
      </w:r>
      <w:r w:rsidR="001F14E6">
        <w:rPr>
          <w:rFonts w:ascii="CorpoS" w:hAnsi="CorpoS"/>
          <w:sz w:val="22"/>
          <w:szCs w:val="22"/>
          <w:lang w:val="de-DE"/>
        </w:rPr>
        <w:t xml:space="preserve">bisher im </w:t>
      </w:r>
      <w:r w:rsidR="00584230" w:rsidRPr="00D63569">
        <w:rPr>
          <w:rFonts w:ascii="CorpoS" w:hAnsi="CorpoS"/>
          <w:sz w:val="22"/>
          <w:szCs w:val="22"/>
          <w:lang w:val="de-DE"/>
        </w:rPr>
        <w:t>mittleren bis hohen zweistelligen Prozentbereich erwartet</w:t>
      </w:r>
      <w:r w:rsidR="001F14E6">
        <w:rPr>
          <w:rFonts w:ascii="CorpoS" w:hAnsi="CorpoS"/>
          <w:sz w:val="22"/>
          <w:szCs w:val="22"/>
          <w:lang w:val="de-DE"/>
        </w:rPr>
        <w:t xml:space="preserve"> und jetzt präzisiert</w:t>
      </w:r>
      <w:r w:rsidR="00584230" w:rsidRPr="00D63569">
        <w:rPr>
          <w:rFonts w:ascii="CorpoS" w:hAnsi="CorpoS"/>
          <w:sz w:val="22"/>
          <w:szCs w:val="22"/>
          <w:lang w:val="de-DE"/>
        </w:rPr>
        <w:t>. Die Prognose der MTU basiert auf einem US-Dollar-Euro-Wechselkurs von 1,05. Bisher hatte das Unternehmen seiner Prognose einen Wechselkurs von 1,10 zugrunde gelegt.</w:t>
      </w:r>
    </w:p>
    <w:p w:rsidR="00187B91" w:rsidRPr="00D63569" w:rsidRDefault="00187B91" w:rsidP="00C51A14">
      <w:pPr>
        <w:spacing w:line="300" w:lineRule="exact"/>
        <w:ind w:right="283"/>
        <w:jc w:val="both"/>
        <w:rPr>
          <w:rFonts w:ascii="CorpoS" w:hAnsi="CorpoS"/>
          <w:sz w:val="22"/>
          <w:szCs w:val="22"/>
          <w:lang w:val="de-DE"/>
        </w:rPr>
      </w:pPr>
    </w:p>
    <w:p w:rsidR="00CB325E" w:rsidRPr="005A5BBE" w:rsidRDefault="0020205B" w:rsidP="00C51A14">
      <w:pPr>
        <w:spacing w:line="300" w:lineRule="exact"/>
        <w:ind w:right="283"/>
        <w:jc w:val="both"/>
        <w:rPr>
          <w:rFonts w:ascii="CorpoS" w:hAnsi="CorpoS"/>
          <w:color w:val="FF0000"/>
          <w:sz w:val="22"/>
          <w:szCs w:val="22"/>
          <w:lang w:val="de-DE"/>
        </w:rPr>
      </w:pPr>
      <w:r w:rsidRPr="006719DA">
        <w:rPr>
          <w:rFonts w:ascii="CorpoS" w:hAnsi="CorpoS"/>
          <w:sz w:val="22"/>
          <w:szCs w:val="22"/>
          <w:lang w:val="de-DE"/>
        </w:rPr>
        <w:t>D</w:t>
      </w:r>
      <w:r w:rsidR="00187B91" w:rsidRPr="006719DA">
        <w:rPr>
          <w:rFonts w:ascii="CorpoS" w:hAnsi="CorpoS"/>
          <w:sz w:val="22"/>
          <w:szCs w:val="22"/>
          <w:lang w:val="de-DE"/>
        </w:rPr>
        <w:t>er Umsatz der MTU</w:t>
      </w:r>
      <w:r w:rsidRPr="006719DA">
        <w:rPr>
          <w:rFonts w:ascii="CorpoS" w:hAnsi="CorpoS"/>
          <w:sz w:val="22"/>
          <w:szCs w:val="22"/>
          <w:lang w:val="de-DE"/>
        </w:rPr>
        <w:t xml:space="preserve"> hat </w:t>
      </w:r>
      <w:r w:rsidR="00584230">
        <w:rPr>
          <w:rFonts w:ascii="CorpoS" w:hAnsi="CorpoS"/>
          <w:sz w:val="22"/>
          <w:szCs w:val="22"/>
          <w:lang w:val="de-DE"/>
        </w:rPr>
        <w:t xml:space="preserve">in den ersten neun Monaten </w:t>
      </w:r>
      <w:r w:rsidRPr="006719DA">
        <w:rPr>
          <w:rFonts w:ascii="CorpoS" w:hAnsi="CorpoS"/>
          <w:sz w:val="22"/>
          <w:szCs w:val="22"/>
          <w:lang w:val="de-DE"/>
        </w:rPr>
        <w:t>sowohl in der zivilen Instandhaltung als auch im zivilen Triebwerksgeschäft zugenommen.</w:t>
      </w:r>
    </w:p>
    <w:p w:rsidR="00CB325E" w:rsidRPr="005A5BBE" w:rsidRDefault="00CB325E" w:rsidP="00C51A14">
      <w:pPr>
        <w:spacing w:line="300" w:lineRule="exact"/>
        <w:ind w:right="283"/>
        <w:jc w:val="both"/>
        <w:rPr>
          <w:rFonts w:ascii="CorpoS" w:hAnsi="CorpoS"/>
          <w:color w:val="FF0000"/>
          <w:sz w:val="22"/>
          <w:szCs w:val="22"/>
          <w:lang w:val="de-DE"/>
        </w:rPr>
      </w:pPr>
    </w:p>
    <w:p w:rsidR="00286DEB" w:rsidRDefault="00CB325E" w:rsidP="00C51A14">
      <w:pPr>
        <w:spacing w:line="300" w:lineRule="exact"/>
        <w:ind w:right="283"/>
        <w:jc w:val="both"/>
        <w:rPr>
          <w:rFonts w:ascii="CorpoS" w:hAnsi="CorpoS"/>
          <w:sz w:val="22"/>
          <w:szCs w:val="22"/>
          <w:lang w:val="de-DE"/>
        </w:rPr>
      </w:pPr>
      <w:r w:rsidRPr="006719DA">
        <w:rPr>
          <w:rFonts w:ascii="CorpoS" w:hAnsi="CorpoS"/>
          <w:sz w:val="22"/>
          <w:szCs w:val="22"/>
          <w:lang w:val="de-DE"/>
        </w:rPr>
        <w:t xml:space="preserve">In der zivilen Instandhaltung </w:t>
      </w:r>
      <w:r w:rsidR="006719DA" w:rsidRPr="006719DA">
        <w:rPr>
          <w:rFonts w:ascii="CorpoS" w:hAnsi="CorpoS"/>
          <w:sz w:val="22"/>
          <w:szCs w:val="22"/>
          <w:lang w:val="de-DE"/>
        </w:rPr>
        <w:t>lag das Umsatzplus bei 32 % auf 2,64 Mrd. € nach 2,01 Mrd. € im gleichen Vorjahreszeitraum</w:t>
      </w:r>
      <w:r w:rsidRPr="009A3A91">
        <w:rPr>
          <w:rFonts w:ascii="CorpoS" w:hAnsi="CorpoS"/>
          <w:sz w:val="22"/>
          <w:szCs w:val="22"/>
          <w:lang w:val="de-DE"/>
        </w:rPr>
        <w:t>.</w:t>
      </w:r>
      <w:r w:rsidR="00AB6216">
        <w:rPr>
          <w:rFonts w:ascii="CorpoS" w:hAnsi="CorpoS"/>
          <w:sz w:val="22"/>
          <w:szCs w:val="22"/>
          <w:lang w:val="de-DE"/>
        </w:rPr>
        <w:t xml:space="preserve"> </w:t>
      </w:r>
      <w:r w:rsidR="00AB6216" w:rsidRPr="009A3A91">
        <w:rPr>
          <w:rFonts w:ascii="CorpoS" w:hAnsi="CorpoS"/>
          <w:sz w:val="22"/>
          <w:szCs w:val="22"/>
          <w:lang w:val="de-DE"/>
        </w:rPr>
        <w:t xml:space="preserve">Das PW1100G-JM, das in der A320neo zum Einsatz kommt, und das V2500 für die klassische A320-Familie waren die wichtigsten Umsatzträger. </w:t>
      </w:r>
      <w:r w:rsidR="0062319C" w:rsidRPr="009A3A91">
        <w:rPr>
          <w:rFonts w:ascii="CorpoS" w:hAnsi="CorpoS"/>
          <w:sz w:val="22"/>
          <w:szCs w:val="22"/>
          <w:lang w:val="de-DE"/>
        </w:rPr>
        <w:t>„</w:t>
      </w:r>
      <w:r w:rsidR="00C951A9">
        <w:rPr>
          <w:rFonts w:ascii="CorpoS" w:hAnsi="CorpoS"/>
          <w:sz w:val="22"/>
          <w:szCs w:val="22"/>
          <w:lang w:val="de-DE"/>
        </w:rPr>
        <w:t>Die Getriebefan-</w:t>
      </w:r>
      <w:r w:rsidR="00D62FBB">
        <w:rPr>
          <w:rFonts w:ascii="CorpoS" w:hAnsi="CorpoS"/>
          <w:sz w:val="22"/>
          <w:szCs w:val="22"/>
          <w:lang w:val="de-DE"/>
        </w:rPr>
        <w:t>Instandhaltung</w:t>
      </w:r>
      <w:r w:rsidR="00C951A9">
        <w:rPr>
          <w:rFonts w:ascii="CorpoS" w:hAnsi="CorpoS"/>
          <w:sz w:val="22"/>
          <w:szCs w:val="22"/>
          <w:lang w:val="de-DE"/>
        </w:rPr>
        <w:t xml:space="preserve"> liegt bisher unter unseren Erwartungen, dürfte im vierten Quartal aber anziehen</w:t>
      </w:r>
      <w:r w:rsidR="001F14E6">
        <w:rPr>
          <w:rFonts w:ascii="CorpoS" w:hAnsi="CorpoS"/>
          <w:sz w:val="22"/>
          <w:szCs w:val="22"/>
          <w:lang w:val="de-DE"/>
        </w:rPr>
        <w:t>“, ergänzte Fi</w:t>
      </w:r>
      <w:r w:rsidR="00C951A9">
        <w:rPr>
          <w:rFonts w:ascii="CorpoS" w:hAnsi="CorpoS"/>
          <w:sz w:val="22"/>
          <w:szCs w:val="22"/>
          <w:lang w:val="de-DE"/>
        </w:rPr>
        <w:t xml:space="preserve">nanzvorstand Peter </w:t>
      </w:r>
      <w:proofErr w:type="spellStart"/>
      <w:r w:rsidR="00C951A9">
        <w:rPr>
          <w:rFonts w:ascii="CorpoS" w:hAnsi="CorpoS"/>
          <w:sz w:val="22"/>
          <w:szCs w:val="22"/>
          <w:lang w:val="de-DE"/>
        </w:rPr>
        <w:t>Kameritsch</w:t>
      </w:r>
      <w:proofErr w:type="spellEnd"/>
      <w:r w:rsidR="00C951A9">
        <w:rPr>
          <w:rFonts w:ascii="CorpoS" w:hAnsi="CorpoS"/>
          <w:sz w:val="22"/>
          <w:szCs w:val="22"/>
          <w:lang w:val="de-DE"/>
        </w:rPr>
        <w:t>. „</w:t>
      </w:r>
      <w:r w:rsidR="00B42372">
        <w:rPr>
          <w:rFonts w:ascii="CorpoS" w:hAnsi="CorpoS"/>
          <w:sz w:val="22"/>
          <w:szCs w:val="22"/>
          <w:lang w:val="de-DE"/>
        </w:rPr>
        <w:t>Insgesamt können wir u</w:t>
      </w:r>
      <w:r w:rsidR="00E73842">
        <w:rPr>
          <w:rFonts w:ascii="CorpoS" w:hAnsi="CorpoS"/>
          <w:sz w:val="22"/>
          <w:szCs w:val="22"/>
          <w:lang w:val="de-DE"/>
        </w:rPr>
        <w:t>nseren MRO-Umsatzausblick für 2022 heute anheben.“ Die MTU erwartet in der zivilen Instandhaltung jetzt ein organisches Umsatzplus von etwa 20 Prozent; bisher war sie von einer Umsatzzunahme im hohen Zehner-Prozentbereich ausgegangen.</w:t>
      </w:r>
    </w:p>
    <w:p w:rsidR="00CB325E" w:rsidRPr="005A5BBE" w:rsidRDefault="00AB6216" w:rsidP="00C51A14">
      <w:pPr>
        <w:spacing w:line="300" w:lineRule="exact"/>
        <w:ind w:right="283"/>
        <w:jc w:val="both"/>
        <w:rPr>
          <w:rFonts w:ascii="CorpoS" w:hAnsi="CorpoS"/>
          <w:color w:val="FF0000"/>
          <w:sz w:val="22"/>
          <w:szCs w:val="22"/>
          <w:lang w:val="de-DE"/>
        </w:rPr>
      </w:pPr>
      <w:r>
        <w:rPr>
          <w:rFonts w:ascii="CorpoS" w:hAnsi="CorpoS"/>
          <w:sz w:val="22"/>
          <w:szCs w:val="22"/>
          <w:lang w:val="de-DE"/>
        </w:rPr>
        <w:t xml:space="preserve"> </w:t>
      </w:r>
    </w:p>
    <w:p w:rsidR="006719DA" w:rsidRDefault="006719DA" w:rsidP="006719DA">
      <w:pPr>
        <w:spacing w:line="300" w:lineRule="exact"/>
        <w:ind w:right="283"/>
        <w:jc w:val="both"/>
        <w:rPr>
          <w:rFonts w:ascii="CorpoS" w:hAnsi="CorpoS"/>
          <w:sz w:val="22"/>
          <w:szCs w:val="22"/>
          <w:lang w:val="de-DE"/>
        </w:rPr>
      </w:pPr>
      <w:r w:rsidRPr="006719DA">
        <w:rPr>
          <w:rFonts w:ascii="CorpoS" w:hAnsi="CorpoS"/>
          <w:sz w:val="22"/>
          <w:szCs w:val="22"/>
          <w:lang w:val="de-DE"/>
        </w:rPr>
        <w:lastRenderedPageBreak/>
        <w:t xml:space="preserve">Das zivile </w:t>
      </w:r>
      <w:r w:rsidR="00D2784C" w:rsidRPr="006719DA">
        <w:rPr>
          <w:rFonts w:ascii="CorpoS" w:hAnsi="CorpoS"/>
          <w:sz w:val="22"/>
          <w:szCs w:val="22"/>
          <w:lang w:val="de-DE"/>
        </w:rPr>
        <w:t>Triebwerksgeschäft</w:t>
      </w:r>
      <w:r w:rsidRPr="006719DA">
        <w:rPr>
          <w:rFonts w:ascii="CorpoS" w:hAnsi="CorpoS"/>
          <w:sz w:val="22"/>
          <w:szCs w:val="22"/>
          <w:lang w:val="de-DE"/>
        </w:rPr>
        <w:t xml:space="preserve"> verzeichnete</w:t>
      </w:r>
      <w:r w:rsidR="00E73842">
        <w:rPr>
          <w:rFonts w:ascii="CorpoS" w:hAnsi="CorpoS"/>
          <w:sz w:val="22"/>
          <w:szCs w:val="22"/>
          <w:lang w:val="de-DE"/>
        </w:rPr>
        <w:t xml:space="preserve"> in den ersten neun Monaten</w:t>
      </w:r>
      <w:r w:rsidRPr="006719DA">
        <w:rPr>
          <w:rFonts w:ascii="CorpoS" w:hAnsi="CorpoS"/>
          <w:sz w:val="22"/>
          <w:szCs w:val="22"/>
          <w:lang w:val="de-DE"/>
        </w:rPr>
        <w:t xml:space="preserve"> ein Umsatzplus von 24 % auf 946 Mio. € (1-9/2021: 765 Mio. €).</w:t>
      </w:r>
      <w:r w:rsidR="009D1E9E" w:rsidRPr="006719DA">
        <w:rPr>
          <w:rFonts w:ascii="CorpoS" w:hAnsi="CorpoS"/>
          <w:sz w:val="22"/>
          <w:szCs w:val="22"/>
          <w:lang w:val="de-DE"/>
        </w:rPr>
        <w:t xml:space="preserve"> </w:t>
      </w:r>
      <w:r w:rsidR="00792985">
        <w:rPr>
          <w:rFonts w:ascii="CorpoS" w:hAnsi="CorpoS"/>
          <w:sz w:val="22"/>
          <w:szCs w:val="22"/>
          <w:lang w:val="de-DE"/>
        </w:rPr>
        <w:t>Dabei ist der Umsatz im zivilen Seriengeschäft organisch im mittleren einstellig</w:t>
      </w:r>
      <w:r w:rsidR="00711B30">
        <w:rPr>
          <w:rFonts w:ascii="CorpoS" w:hAnsi="CorpoS"/>
          <w:sz w:val="22"/>
          <w:szCs w:val="22"/>
          <w:lang w:val="de-DE"/>
        </w:rPr>
        <w:t>en Prozentbereich gestiegen, der organische Umsatzzuwachs im</w:t>
      </w:r>
      <w:r w:rsidR="00792985">
        <w:rPr>
          <w:rFonts w:ascii="CorpoS" w:hAnsi="CorpoS"/>
          <w:sz w:val="22"/>
          <w:szCs w:val="22"/>
          <w:lang w:val="de-DE"/>
        </w:rPr>
        <w:t xml:space="preserve"> Ersatzteilgeschäft </w:t>
      </w:r>
      <w:r w:rsidR="00711B30">
        <w:rPr>
          <w:rFonts w:ascii="CorpoS" w:hAnsi="CorpoS"/>
          <w:sz w:val="22"/>
          <w:szCs w:val="22"/>
          <w:lang w:val="de-DE"/>
        </w:rPr>
        <w:t xml:space="preserve">lag </w:t>
      </w:r>
      <w:r w:rsidR="00792985">
        <w:rPr>
          <w:rFonts w:ascii="CorpoS" w:hAnsi="CorpoS"/>
          <w:sz w:val="22"/>
          <w:szCs w:val="22"/>
          <w:lang w:val="de-DE"/>
        </w:rPr>
        <w:t xml:space="preserve"> im hohen Zehner-Prozentbereich. </w:t>
      </w:r>
      <w:proofErr w:type="spellStart"/>
      <w:r w:rsidR="00711B30">
        <w:rPr>
          <w:rFonts w:ascii="CorpoS" w:hAnsi="CorpoS"/>
          <w:sz w:val="22"/>
          <w:szCs w:val="22"/>
          <w:lang w:val="de-DE"/>
        </w:rPr>
        <w:t>Kameritsch</w:t>
      </w:r>
      <w:proofErr w:type="spellEnd"/>
      <w:r w:rsidR="00792985">
        <w:rPr>
          <w:rFonts w:ascii="CorpoS" w:hAnsi="CorpoS"/>
          <w:sz w:val="22"/>
          <w:szCs w:val="22"/>
          <w:lang w:val="de-DE"/>
        </w:rPr>
        <w:t>: „</w:t>
      </w:r>
      <w:r w:rsidR="003F3DBA">
        <w:rPr>
          <w:rFonts w:ascii="CorpoS" w:hAnsi="CorpoS"/>
          <w:sz w:val="22"/>
          <w:szCs w:val="22"/>
          <w:lang w:val="de-DE"/>
        </w:rPr>
        <w:t xml:space="preserve">Bei den Ersatzteilen liegen wir damit klar im Rahmen unserer Erwartungen für das Gesamtjahr. Eine positive Entwicklung </w:t>
      </w:r>
      <w:r w:rsidR="00711B30">
        <w:rPr>
          <w:rFonts w:ascii="CorpoS" w:hAnsi="CorpoS"/>
          <w:sz w:val="22"/>
          <w:szCs w:val="22"/>
          <w:lang w:val="de-DE"/>
        </w:rPr>
        <w:t>zeigt sich</w:t>
      </w:r>
      <w:r w:rsidR="003F3DBA">
        <w:rPr>
          <w:rFonts w:ascii="CorpoS" w:hAnsi="CorpoS"/>
          <w:sz w:val="22"/>
          <w:szCs w:val="22"/>
          <w:lang w:val="de-DE"/>
        </w:rPr>
        <w:t xml:space="preserve"> hier nicht nur bei Triebwerken für </w:t>
      </w:r>
      <w:proofErr w:type="spellStart"/>
      <w:r w:rsidR="003F3DBA">
        <w:rPr>
          <w:rFonts w:ascii="CorpoS" w:hAnsi="CorpoS"/>
          <w:sz w:val="22"/>
          <w:szCs w:val="22"/>
          <w:lang w:val="de-DE"/>
        </w:rPr>
        <w:t>Narrowbodies</w:t>
      </w:r>
      <w:proofErr w:type="spellEnd"/>
      <w:r w:rsidR="003F3DBA">
        <w:rPr>
          <w:rFonts w:ascii="CorpoS" w:hAnsi="CorpoS"/>
          <w:sz w:val="22"/>
          <w:szCs w:val="22"/>
          <w:lang w:val="de-DE"/>
        </w:rPr>
        <w:t xml:space="preserve"> und Frachter, sondern auch </w:t>
      </w:r>
      <w:r w:rsidR="00711B30">
        <w:rPr>
          <w:rFonts w:ascii="CorpoS" w:hAnsi="CorpoS"/>
          <w:sz w:val="22"/>
          <w:szCs w:val="22"/>
          <w:lang w:val="de-DE"/>
        </w:rPr>
        <w:t>beim</w:t>
      </w:r>
      <w:r w:rsidR="003F3DBA">
        <w:rPr>
          <w:rFonts w:ascii="CorpoS" w:hAnsi="CorpoS"/>
          <w:sz w:val="22"/>
          <w:szCs w:val="22"/>
          <w:lang w:val="de-DE"/>
        </w:rPr>
        <w:t xml:space="preserve"> </w:t>
      </w:r>
      <w:proofErr w:type="spellStart"/>
      <w:r w:rsidR="003F3DBA">
        <w:rPr>
          <w:rFonts w:ascii="CorpoS" w:hAnsi="CorpoS"/>
          <w:sz w:val="22"/>
          <w:szCs w:val="22"/>
          <w:lang w:val="de-DE"/>
        </w:rPr>
        <w:t>Dreamliner</w:t>
      </w:r>
      <w:proofErr w:type="spellEnd"/>
      <w:r w:rsidR="003F3DBA">
        <w:rPr>
          <w:rFonts w:ascii="CorpoS" w:hAnsi="CorpoS"/>
          <w:sz w:val="22"/>
          <w:szCs w:val="22"/>
          <w:lang w:val="de-DE"/>
        </w:rPr>
        <w:t xml:space="preserve">-Antrieb </w:t>
      </w:r>
      <w:proofErr w:type="spellStart"/>
      <w:r w:rsidR="003F3DBA">
        <w:rPr>
          <w:rFonts w:ascii="CorpoS" w:hAnsi="CorpoS"/>
          <w:sz w:val="22"/>
          <w:szCs w:val="22"/>
          <w:lang w:val="de-DE"/>
        </w:rPr>
        <w:t>GEnx</w:t>
      </w:r>
      <w:proofErr w:type="spellEnd"/>
      <w:r w:rsidR="003F3DBA">
        <w:rPr>
          <w:rFonts w:ascii="CorpoS" w:hAnsi="CorpoS"/>
          <w:sz w:val="22"/>
          <w:szCs w:val="22"/>
          <w:lang w:val="de-DE"/>
        </w:rPr>
        <w:t xml:space="preserve"> und </w:t>
      </w:r>
      <w:r w:rsidR="00711B30">
        <w:rPr>
          <w:rFonts w:ascii="CorpoS" w:hAnsi="CorpoS"/>
          <w:sz w:val="22"/>
          <w:szCs w:val="22"/>
          <w:lang w:val="de-DE"/>
        </w:rPr>
        <w:t>bei</w:t>
      </w:r>
      <w:r w:rsidR="003F3DBA">
        <w:rPr>
          <w:rFonts w:ascii="CorpoS" w:hAnsi="CorpoS"/>
          <w:sz w:val="22"/>
          <w:szCs w:val="22"/>
          <w:lang w:val="de-DE"/>
        </w:rPr>
        <w:t xml:space="preserve"> Business-Jet-Triebwerke</w:t>
      </w:r>
      <w:r w:rsidR="00711B30">
        <w:rPr>
          <w:rFonts w:ascii="CorpoS" w:hAnsi="CorpoS"/>
          <w:sz w:val="22"/>
          <w:szCs w:val="22"/>
          <w:lang w:val="de-DE"/>
        </w:rPr>
        <w:t>n</w:t>
      </w:r>
      <w:r w:rsidR="003F3DBA">
        <w:rPr>
          <w:rFonts w:ascii="CorpoS" w:hAnsi="CorpoS"/>
          <w:sz w:val="22"/>
          <w:szCs w:val="22"/>
          <w:lang w:val="de-DE"/>
        </w:rPr>
        <w:t xml:space="preserve">. </w:t>
      </w:r>
      <w:r w:rsidR="00792985">
        <w:rPr>
          <w:rFonts w:ascii="CorpoS" w:hAnsi="CorpoS"/>
          <w:sz w:val="22"/>
          <w:szCs w:val="22"/>
          <w:lang w:val="de-DE"/>
        </w:rPr>
        <w:t xml:space="preserve">In der Serie sehen wir höhere GTF-Auslieferungen, während die Erholung bei anderen Programmen noch </w:t>
      </w:r>
      <w:r w:rsidR="003F3DBA">
        <w:rPr>
          <w:rFonts w:ascii="CorpoS" w:hAnsi="CorpoS"/>
          <w:sz w:val="22"/>
          <w:szCs w:val="22"/>
          <w:lang w:val="de-DE"/>
        </w:rPr>
        <w:t xml:space="preserve">etwas </w:t>
      </w:r>
      <w:r w:rsidR="008B7DE2">
        <w:rPr>
          <w:rFonts w:ascii="CorpoS" w:hAnsi="CorpoS"/>
          <w:sz w:val="22"/>
          <w:szCs w:val="22"/>
          <w:lang w:val="de-DE"/>
        </w:rPr>
        <w:t>schwächer ist</w:t>
      </w:r>
      <w:r w:rsidR="00792985">
        <w:rPr>
          <w:rFonts w:ascii="CorpoS" w:hAnsi="CorpoS"/>
          <w:sz w:val="22"/>
          <w:szCs w:val="22"/>
          <w:lang w:val="de-DE"/>
        </w:rPr>
        <w:t>.</w:t>
      </w:r>
      <w:r w:rsidR="003F3DBA">
        <w:rPr>
          <w:rFonts w:ascii="CorpoS" w:hAnsi="CorpoS"/>
          <w:sz w:val="22"/>
          <w:szCs w:val="22"/>
          <w:lang w:val="de-DE"/>
        </w:rPr>
        <w:t xml:space="preserve">“ </w:t>
      </w:r>
      <w:r w:rsidRPr="003A4D46">
        <w:rPr>
          <w:rFonts w:ascii="CorpoS" w:hAnsi="CorpoS"/>
          <w:sz w:val="22"/>
          <w:szCs w:val="22"/>
          <w:lang w:val="de-DE"/>
        </w:rPr>
        <w:t xml:space="preserve">Hauptumsatzträger im zivilen Triebwerksgeschäft war </w:t>
      </w:r>
      <w:r w:rsidR="00631730">
        <w:rPr>
          <w:rFonts w:ascii="CorpoS" w:hAnsi="CorpoS"/>
          <w:sz w:val="22"/>
          <w:szCs w:val="22"/>
          <w:lang w:val="de-DE"/>
        </w:rPr>
        <w:t>das</w:t>
      </w:r>
      <w:r w:rsidR="00792985">
        <w:rPr>
          <w:rFonts w:ascii="CorpoS" w:hAnsi="CorpoS"/>
          <w:sz w:val="22"/>
          <w:szCs w:val="22"/>
          <w:lang w:val="de-DE"/>
        </w:rPr>
        <w:t xml:space="preserve"> </w:t>
      </w:r>
      <w:r w:rsidRPr="003A4D46">
        <w:rPr>
          <w:rFonts w:ascii="CorpoS" w:hAnsi="CorpoS"/>
          <w:sz w:val="22"/>
          <w:szCs w:val="22"/>
          <w:lang w:val="de-DE"/>
        </w:rPr>
        <w:t>PW1100G-JM.</w:t>
      </w:r>
    </w:p>
    <w:p w:rsidR="0020205B" w:rsidRDefault="0020205B" w:rsidP="00564226">
      <w:pPr>
        <w:spacing w:line="300" w:lineRule="exact"/>
        <w:ind w:right="284"/>
        <w:jc w:val="both"/>
        <w:rPr>
          <w:rFonts w:ascii="CorpoS" w:hAnsi="CorpoS"/>
          <w:color w:val="FF0000"/>
          <w:sz w:val="22"/>
          <w:szCs w:val="22"/>
          <w:lang w:val="de-DE"/>
        </w:rPr>
      </w:pPr>
    </w:p>
    <w:p w:rsidR="0020205B" w:rsidRDefault="006719DA" w:rsidP="0020205B">
      <w:pPr>
        <w:spacing w:line="300" w:lineRule="exact"/>
        <w:ind w:right="283"/>
        <w:jc w:val="both"/>
        <w:rPr>
          <w:rFonts w:ascii="CorpoS" w:hAnsi="CorpoS"/>
          <w:sz w:val="22"/>
          <w:szCs w:val="22"/>
          <w:lang w:val="de-DE"/>
        </w:rPr>
      </w:pPr>
      <w:r w:rsidRPr="006719DA">
        <w:rPr>
          <w:rFonts w:ascii="CorpoS" w:hAnsi="CorpoS"/>
          <w:sz w:val="22"/>
          <w:szCs w:val="22"/>
          <w:lang w:val="de-DE"/>
        </w:rPr>
        <w:t>Mit 309 Mio. € ist der Umsatz i</w:t>
      </w:r>
      <w:r w:rsidR="0020205B" w:rsidRPr="006719DA">
        <w:rPr>
          <w:rFonts w:ascii="CorpoS" w:hAnsi="CorpoS"/>
          <w:sz w:val="22"/>
          <w:szCs w:val="22"/>
          <w:lang w:val="de-DE"/>
        </w:rPr>
        <w:t xml:space="preserve">m militärischen Triebwerksgeschäft </w:t>
      </w:r>
      <w:r w:rsidRPr="006719DA">
        <w:rPr>
          <w:rFonts w:ascii="CorpoS" w:hAnsi="CorpoS"/>
          <w:sz w:val="22"/>
          <w:szCs w:val="22"/>
          <w:lang w:val="de-DE"/>
        </w:rPr>
        <w:t xml:space="preserve">im Vergleich zu den ersten neun Monaten 2021 stabil geblieben (1-9/2021: 310 Mio. €). </w:t>
      </w:r>
      <w:r w:rsidR="0020205B" w:rsidRPr="006719DA">
        <w:rPr>
          <w:rFonts w:ascii="CorpoS" w:hAnsi="CorpoS"/>
          <w:sz w:val="22"/>
          <w:szCs w:val="22"/>
          <w:lang w:val="de-DE"/>
        </w:rPr>
        <w:t xml:space="preserve">Der wichtigste Umsatzträger war das Eurofighter-Triebwerk EJ200. </w:t>
      </w:r>
      <w:r w:rsidR="0020205B" w:rsidRPr="00792985">
        <w:rPr>
          <w:rFonts w:ascii="CorpoS" w:hAnsi="CorpoS"/>
          <w:sz w:val="22"/>
          <w:szCs w:val="22"/>
          <w:lang w:val="de-DE"/>
        </w:rPr>
        <w:t>„</w:t>
      </w:r>
      <w:r w:rsidR="00792985" w:rsidRPr="00792985">
        <w:rPr>
          <w:rFonts w:ascii="CorpoS" w:hAnsi="CorpoS"/>
          <w:sz w:val="22"/>
          <w:szCs w:val="22"/>
          <w:lang w:val="de-DE"/>
        </w:rPr>
        <w:t xml:space="preserve">Im Militärbereich haben sich sowohl im Neugeschäft als auch in der Instandhaltung kleinere Verzögerungen ergeben“, erläuterte </w:t>
      </w:r>
      <w:proofErr w:type="spellStart"/>
      <w:r w:rsidR="00C871B9">
        <w:rPr>
          <w:rFonts w:ascii="CorpoS" w:hAnsi="CorpoS"/>
          <w:sz w:val="22"/>
          <w:szCs w:val="22"/>
          <w:lang w:val="de-DE"/>
        </w:rPr>
        <w:t>Kameritsch</w:t>
      </w:r>
      <w:proofErr w:type="spellEnd"/>
      <w:r w:rsidR="00792985" w:rsidRPr="00792985">
        <w:rPr>
          <w:rFonts w:ascii="CorpoS" w:hAnsi="CorpoS"/>
          <w:sz w:val="22"/>
          <w:szCs w:val="22"/>
          <w:lang w:val="de-DE"/>
        </w:rPr>
        <w:t xml:space="preserve">. </w:t>
      </w:r>
    </w:p>
    <w:p w:rsidR="00C871B9" w:rsidRDefault="00C871B9" w:rsidP="0020205B">
      <w:pPr>
        <w:spacing w:line="300" w:lineRule="exact"/>
        <w:ind w:right="283"/>
        <w:jc w:val="both"/>
        <w:rPr>
          <w:rFonts w:ascii="CorpoS" w:hAnsi="CorpoS"/>
          <w:sz w:val="22"/>
          <w:szCs w:val="22"/>
          <w:lang w:val="de-DE"/>
        </w:rPr>
      </w:pPr>
    </w:p>
    <w:p w:rsidR="00C871B9" w:rsidRDefault="0084472C" w:rsidP="0020205B">
      <w:pPr>
        <w:spacing w:line="300" w:lineRule="exact"/>
        <w:ind w:right="283"/>
        <w:jc w:val="both"/>
        <w:rPr>
          <w:rFonts w:ascii="CorpoS" w:hAnsi="CorpoS"/>
          <w:sz w:val="22"/>
          <w:szCs w:val="22"/>
          <w:lang w:val="de-DE"/>
        </w:rPr>
      </w:pPr>
      <w:r>
        <w:rPr>
          <w:rFonts w:ascii="CorpoS" w:hAnsi="CorpoS"/>
          <w:sz w:val="22"/>
          <w:szCs w:val="22"/>
          <w:lang w:val="de-DE"/>
        </w:rPr>
        <w:t xml:space="preserve">Im </w:t>
      </w:r>
      <w:r w:rsidR="00C93E63">
        <w:rPr>
          <w:rFonts w:ascii="CorpoS" w:hAnsi="CorpoS"/>
          <w:sz w:val="22"/>
          <w:szCs w:val="22"/>
          <w:lang w:val="de-DE"/>
        </w:rPr>
        <w:t>OEM-G</w:t>
      </w:r>
      <w:r>
        <w:rPr>
          <w:rFonts w:ascii="CorpoS" w:hAnsi="CorpoS"/>
          <w:sz w:val="22"/>
          <w:szCs w:val="22"/>
          <w:lang w:val="de-DE"/>
        </w:rPr>
        <w:t>eschäft bleiben d</w:t>
      </w:r>
      <w:r w:rsidR="00C871B9" w:rsidRPr="00A30269">
        <w:rPr>
          <w:rFonts w:ascii="CorpoS" w:hAnsi="CorpoS"/>
          <w:sz w:val="22"/>
          <w:szCs w:val="22"/>
          <w:lang w:val="de-DE"/>
        </w:rPr>
        <w:t xml:space="preserve">ie </w:t>
      </w:r>
      <w:r w:rsidR="00C871B9">
        <w:rPr>
          <w:rFonts w:ascii="CorpoS" w:hAnsi="CorpoS"/>
          <w:sz w:val="22"/>
          <w:szCs w:val="22"/>
          <w:lang w:val="de-DE"/>
        </w:rPr>
        <w:t>Umsatz-</w:t>
      </w:r>
      <w:r w:rsidR="00C871B9" w:rsidRPr="00A30269">
        <w:rPr>
          <w:rFonts w:ascii="CorpoS" w:hAnsi="CorpoS"/>
          <w:sz w:val="22"/>
          <w:szCs w:val="22"/>
          <w:lang w:val="de-DE"/>
        </w:rPr>
        <w:t xml:space="preserve">Annahmen für das Gesamtjahr unverändert: Der Umsatz des zivilen Seriengeschäfts dürfte 2022 im mittleren bis hohen Zehner-Prozentbereich zunehmen. </w:t>
      </w:r>
      <w:r w:rsidR="007E7E43">
        <w:rPr>
          <w:rFonts w:ascii="CorpoS" w:hAnsi="CorpoS"/>
          <w:sz w:val="22"/>
          <w:szCs w:val="22"/>
          <w:lang w:val="de-DE"/>
        </w:rPr>
        <w:t xml:space="preserve">Die MTU geht im </w:t>
      </w:r>
      <w:r w:rsidR="00C871B9" w:rsidRPr="00A30269">
        <w:rPr>
          <w:rFonts w:ascii="CorpoS" w:hAnsi="CorpoS"/>
          <w:sz w:val="22"/>
          <w:szCs w:val="22"/>
          <w:lang w:val="de-DE"/>
        </w:rPr>
        <w:t>zivilen Ersatzteilgeschäft von einem Umsatzanstieg im mittleren Zehner-Prozentbereich aus. Im Militärgeschäft wird ein Umsatzzuwachs im hohen einstelligen Prozentbereich erwartet. </w:t>
      </w:r>
    </w:p>
    <w:p w:rsidR="00C871B9" w:rsidRPr="005A5BBE" w:rsidRDefault="00C871B9" w:rsidP="0020205B">
      <w:pPr>
        <w:spacing w:line="300" w:lineRule="exact"/>
        <w:ind w:right="283"/>
        <w:jc w:val="both"/>
        <w:rPr>
          <w:rFonts w:ascii="CorpoS" w:hAnsi="CorpoS"/>
          <w:color w:val="FF0000"/>
          <w:sz w:val="22"/>
          <w:szCs w:val="22"/>
          <w:lang w:val="de-DE"/>
        </w:rPr>
      </w:pPr>
    </w:p>
    <w:p w:rsidR="00C51A14" w:rsidRPr="006D1BF3" w:rsidRDefault="00A0482F"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D</w:t>
      </w:r>
      <w:r w:rsidR="006D1BF3" w:rsidRPr="006D1BF3">
        <w:rPr>
          <w:rFonts w:ascii="CorpoS" w:hAnsi="CorpoS"/>
          <w:sz w:val="22"/>
          <w:szCs w:val="22"/>
          <w:lang w:val="de-DE"/>
        </w:rPr>
        <w:t xml:space="preserve">er Auftragsbestand </w:t>
      </w:r>
      <w:r>
        <w:rPr>
          <w:rFonts w:ascii="CorpoS" w:hAnsi="CorpoS"/>
          <w:sz w:val="22"/>
          <w:szCs w:val="22"/>
          <w:lang w:val="de-DE"/>
        </w:rPr>
        <w:t xml:space="preserve">lag </w:t>
      </w:r>
      <w:r w:rsidR="006D1BF3" w:rsidRPr="006D1BF3">
        <w:rPr>
          <w:rFonts w:ascii="CorpoS" w:hAnsi="CorpoS"/>
          <w:sz w:val="22"/>
          <w:szCs w:val="22"/>
          <w:lang w:val="de-DE"/>
        </w:rPr>
        <w:t xml:space="preserve">Ende September </w:t>
      </w:r>
      <w:r w:rsidR="00B8505D">
        <w:rPr>
          <w:rFonts w:ascii="CorpoS" w:hAnsi="CorpoS"/>
          <w:sz w:val="22"/>
          <w:szCs w:val="22"/>
          <w:lang w:val="de-DE"/>
        </w:rPr>
        <w:t>bei</w:t>
      </w:r>
      <w:r>
        <w:rPr>
          <w:rFonts w:ascii="CorpoS" w:hAnsi="CorpoS"/>
          <w:sz w:val="22"/>
          <w:szCs w:val="22"/>
          <w:lang w:val="de-DE"/>
        </w:rPr>
        <w:t xml:space="preserve"> 25,96 Mrd. €</w:t>
      </w:r>
      <w:r w:rsidR="000B1468">
        <w:rPr>
          <w:rFonts w:ascii="CorpoS" w:hAnsi="CorpoS"/>
          <w:sz w:val="22"/>
          <w:szCs w:val="22"/>
          <w:lang w:val="de-DE"/>
        </w:rPr>
        <w:t xml:space="preserve"> (31.12.2021:</w:t>
      </w:r>
      <w:r w:rsidR="00B8505D">
        <w:rPr>
          <w:rFonts w:ascii="CorpoS" w:hAnsi="CorpoS"/>
          <w:sz w:val="22"/>
          <w:szCs w:val="22"/>
          <w:lang w:val="de-DE"/>
        </w:rPr>
        <w:t xml:space="preserve"> </w:t>
      </w:r>
      <w:r w:rsidR="006D1BF3" w:rsidRPr="006D1BF3">
        <w:rPr>
          <w:rFonts w:ascii="CorpoS" w:hAnsi="CorpoS"/>
          <w:sz w:val="22"/>
          <w:szCs w:val="22"/>
          <w:lang w:val="de-DE"/>
        </w:rPr>
        <w:t>22,24 Mrd. €</w:t>
      </w:r>
      <w:r w:rsidR="000B1468">
        <w:rPr>
          <w:rFonts w:ascii="CorpoS" w:hAnsi="CorpoS"/>
          <w:sz w:val="22"/>
          <w:szCs w:val="22"/>
          <w:lang w:val="de-DE"/>
        </w:rPr>
        <w:t>)</w:t>
      </w:r>
      <w:r w:rsidR="006D1BF3" w:rsidRPr="006D1BF3">
        <w:rPr>
          <w:rFonts w:ascii="CorpoS" w:hAnsi="CorpoS"/>
          <w:sz w:val="22"/>
          <w:szCs w:val="22"/>
          <w:lang w:val="de-DE"/>
        </w:rPr>
        <w:t xml:space="preserve">. </w:t>
      </w:r>
      <w:r w:rsidR="003A4B83" w:rsidRPr="006D1BF3">
        <w:rPr>
          <w:rFonts w:ascii="CorpoS" w:hAnsi="CorpoS"/>
          <w:sz w:val="22"/>
          <w:szCs w:val="22"/>
          <w:lang w:val="de-DE"/>
        </w:rPr>
        <w:t xml:space="preserve">Die meisten </w:t>
      </w:r>
      <w:r w:rsidR="00191C2E" w:rsidRPr="006D1BF3">
        <w:rPr>
          <w:rFonts w:ascii="CorpoS" w:hAnsi="CorpoS"/>
          <w:sz w:val="22"/>
          <w:szCs w:val="22"/>
          <w:lang w:val="de-DE"/>
        </w:rPr>
        <w:t>Aufträge</w:t>
      </w:r>
      <w:r w:rsidR="003A4B83" w:rsidRPr="006D1BF3">
        <w:rPr>
          <w:rFonts w:ascii="CorpoS" w:hAnsi="CorpoS"/>
          <w:sz w:val="22"/>
          <w:szCs w:val="22"/>
          <w:lang w:val="de-DE"/>
        </w:rPr>
        <w:t xml:space="preserve"> </w:t>
      </w:r>
      <w:r w:rsidR="006D1BF3" w:rsidRPr="006D1BF3">
        <w:rPr>
          <w:rFonts w:ascii="CorpoS" w:hAnsi="CorpoS"/>
          <w:sz w:val="22"/>
          <w:szCs w:val="22"/>
          <w:lang w:val="de-DE"/>
        </w:rPr>
        <w:t>entfielen</w:t>
      </w:r>
      <w:r w:rsidR="001E178D" w:rsidRPr="006D1BF3">
        <w:rPr>
          <w:rFonts w:ascii="CorpoS" w:hAnsi="CorpoS"/>
          <w:sz w:val="22"/>
          <w:szCs w:val="22"/>
          <w:lang w:val="de-DE"/>
        </w:rPr>
        <w:t xml:space="preserve"> auf</w:t>
      </w:r>
      <w:r w:rsidR="003A4B83" w:rsidRPr="006D1BF3">
        <w:rPr>
          <w:rFonts w:ascii="CorpoS" w:hAnsi="CorpoS"/>
          <w:sz w:val="22"/>
          <w:szCs w:val="22"/>
          <w:lang w:val="de-DE"/>
        </w:rPr>
        <w:t xml:space="preserve"> </w:t>
      </w:r>
      <w:r w:rsidR="00191C2E" w:rsidRPr="006D1BF3">
        <w:rPr>
          <w:rFonts w:ascii="CorpoS" w:hAnsi="CorpoS"/>
          <w:sz w:val="22"/>
          <w:szCs w:val="22"/>
          <w:lang w:val="de-DE"/>
        </w:rPr>
        <w:t xml:space="preserve">das </w:t>
      </w:r>
      <w:r w:rsidR="00C51A14" w:rsidRPr="006D1BF3">
        <w:rPr>
          <w:rFonts w:ascii="CorpoS" w:hAnsi="CorpoS"/>
          <w:sz w:val="22"/>
          <w:szCs w:val="22"/>
          <w:lang w:val="de-DE"/>
        </w:rPr>
        <w:t>V2500 und die Getriebefan</w:t>
      </w:r>
      <w:r w:rsidR="00CF0603" w:rsidRPr="006D1BF3">
        <w:rPr>
          <w:rFonts w:ascii="CorpoS" w:hAnsi="CorpoS"/>
          <w:sz w:val="22"/>
          <w:szCs w:val="22"/>
          <w:lang w:val="de-DE"/>
        </w:rPr>
        <w:t>-Triebwerke der PW1000G-Familie</w:t>
      </w:r>
      <w:r w:rsidR="000A22E2" w:rsidRPr="006D1BF3">
        <w:rPr>
          <w:rFonts w:ascii="CorpoS" w:hAnsi="CorpoS"/>
          <w:sz w:val="22"/>
          <w:szCs w:val="22"/>
          <w:lang w:val="de-DE"/>
        </w:rPr>
        <w:t>,</w:t>
      </w:r>
      <w:r w:rsidR="00C51A14" w:rsidRPr="006D1BF3">
        <w:rPr>
          <w:rFonts w:ascii="CorpoS" w:hAnsi="CorpoS"/>
          <w:sz w:val="22"/>
          <w:szCs w:val="22"/>
          <w:lang w:val="de-DE"/>
        </w:rPr>
        <w:t xml:space="preserve"> </w:t>
      </w:r>
      <w:r w:rsidR="003E612B" w:rsidRPr="006D1BF3">
        <w:rPr>
          <w:rFonts w:ascii="CorpoS" w:hAnsi="CorpoS"/>
          <w:sz w:val="22"/>
          <w:szCs w:val="22"/>
          <w:lang w:val="de-DE"/>
        </w:rPr>
        <w:t>insbesondere</w:t>
      </w:r>
      <w:r w:rsidR="00191C2E" w:rsidRPr="006D1BF3">
        <w:rPr>
          <w:rFonts w:ascii="CorpoS" w:hAnsi="CorpoS"/>
          <w:sz w:val="22"/>
          <w:szCs w:val="22"/>
          <w:lang w:val="de-DE"/>
        </w:rPr>
        <w:t xml:space="preserve"> das PW1100G-JM.</w:t>
      </w:r>
    </w:p>
    <w:p w:rsidR="00C51A14" w:rsidRPr="006D1BF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83457F" w:rsidRDefault="006D1BF3" w:rsidP="00C51A14">
      <w:pPr>
        <w:tabs>
          <w:tab w:val="left" w:pos="7655"/>
          <w:tab w:val="left" w:pos="9072"/>
        </w:tabs>
        <w:spacing w:line="300" w:lineRule="exact"/>
        <w:ind w:right="283"/>
        <w:jc w:val="both"/>
        <w:rPr>
          <w:rFonts w:ascii="CorpoS" w:hAnsi="CorpoS"/>
          <w:sz w:val="22"/>
          <w:szCs w:val="22"/>
          <w:lang w:val="de-DE"/>
        </w:rPr>
      </w:pPr>
      <w:r w:rsidRPr="006D1BF3">
        <w:rPr>
          <w:rFonts w:ascii="CorpoS" w:hAnsi="CorpoS"/>
          <w:sz w:val="22"/>
          <w:szCs w:val="22"/>
          <w:lang w:val="de-DE"/>
        </w:rPr>
        <w:t>Das Ergebnis der MTU ist in den ersten neun Monaten sowohl im OEM- als</w:t>
      </w:r>
      <w:r w:rsidR="005453B7">
        <w:rPr>
          <w:rFonts w:ascii="CorpoS" w:hAnsi="CorpoS"/>
          <w:sz w:val="22"/>
          <w:szCs w:val="22"/>
          <w:lang w:val="de-DE"/>
        </w:rPr>
        <w:t xml:space="preserve"> auch im MRO-Geschäft gestiegen:</w:t>
      </w:r>
      <w:r w:rsidR="00A0482F">
        <w:rPr>
          <w:rFonts w:ascii="CorpoS" w:hAnsi="CorpoS"/>
          <w:sz w:val="22"/>
          <w:szCs w:val="22"/>
          <w:lang w:val="de-DE"/>
        </w:rPr>
        <w:t xml:space="preserve"> </w:t>
      </w:r>
      <w:r w:rsidRPr="006D1BF3">
        <w:rPr>
          <w:rFonts w:ascii="CorpoS" w:hAnsi="CorpoS"/>
          <w:sz w:val="22"/>
          <w:szCs w:val="22"/>
          <w:lang w:val="de-DE"/>
        </w:rPr>
        <w:t>Das bereinigte EBIT in der zivilen Instandhaltung leg</w:t>
      </w:r>
      <w:r w:rsidR="005453B7">
        <w:rPr>
          <w:rFonts w:ascii="CorpoS" w:hAnsi="CorpoS"/>
          <w:sz w:val="22"/>
          <w:szCs w:val="22"/>
          <w:lang w:val="de-DE"/>
        </w:rPr>
        <w:t>te um 87 % auf 196 Mio. € zu (1-</w:t>
      </w:r>
      <w:r w:rsidRPr="006D1BF3">
        <w:rPr>
          <w:rFonts w:ascii="CorpoS" w:hAnsi="CorpoS"/>
          <w:sz w:val="22"/>
          <w:szCs w:val="22"/>
          <w:lang w:val="de-DE"/>
        </w:rPr>
        <w:t xml:space="preserve">9/2021: 105 Mio. €). Die bereinigte EBIT-Marge stieg von 5,2 % auf 7,4 %. Im OEM-Geschäft verzeichnete die MTU ein Ergebnisplus von 24 % auf 251 Mio. € nach 202 Mio. € in den ersten neun Monaten 2021. Die </w:t>
      </w:r>
      <w:r w:rsidRPr="0083457F">
        <w:rPr>
          <w:rFonts w:ascii="CorpoS" w:hAnsi="CorpoS"/>
          <w:sz w:val="22"/>
          <w:szCs w:val="22"/>
          <w:lang w:val="de-DE"/>
        </w:rPr>
        <w:t xml:space="preserve">bereinigte Ergebnismarge erreichte 20,0 % (1-9/2021: 18,8 %). </w:t>
      </w:r>
      <w:r w:rsidR="00373AC6" w:rsidRPr="0083457F">
        <w:rPr>
          <w:rFonts w:ascii="CorpoS" w:hAnsi="CorpoS"/>
          <w:sz w:val="22"/>
          <w:szCs w:val="22"/>
          <w:lang w:val="de-DE"/>
        </w:rPr>
        <w:t>„</w:t>
      </w:r>
      <w:r w:rsidR="00B1640E" w:rsidRPr="0083457F">
        <w:rPr>
          <w:rFonts w:ascii="CorpoS" w:hAnsi="CorpoS"/>
          <w:sz w:val="22"/>
          <w:szCs w:val="22"/>
          <w:lang w:val="de-DE"/>
        </w:rPr>
        <w:t>I</w:t>
      </w:r>
      <w:r w:rsidR="0083457F" w:rsidRPr="0083457F">
        <w:rPr>
          <w:rFonts w:ascii="CorpoS" w:hAnsi="CorpoS"/>
          <w:sz w:val="22"/>
          <w:szCs w:val="22"/>
          <w:lang w:val="de-DE"/>
        </w:rPr>
        <w:t>n beiden Geschäftsbereichen hatte der Business-Mix positiven Einfluss auf das Ergebnis. Darüber hinaus profitiert die MTU vom derzeit günstigen US-Dollar-Euro-Wechselkurs“</w:t>
      </w:r>
      <w:r w:rsidR="00373AC6" w:rsidRPr="0083457F">
        <w:rPr>
          <w:rFonts w:ascii="CorpoS" w:hAnsi="CorpoS"/>
          <w:sz w:val="22"/>
          <w:szCs w:val="22"/>
          <w:lang w:val="de-DE"/>
        </w:rPr>
        <w:t>, s</w:t>
      </w:r>
      <w:r w:rsidR="009677D8" w:rsidRPr="0083457F">
        <w:rPr>
          <w:rFonts w:ascii="CorpoS" w:hAnsi="CorpoS"/>
          <w:sz w:val="22"/>
          <w:szCs w:val="22"/>
          <w:lang w:val="de-DE"/>
        </w:rPr>
        <w:t xml:space="preserve">o </w:t>
      </w:r>
      <w:proofErr w:type="spellStart"/>
      <w:r w:rsidR="0040017C" w:rsidRPr="0083457F">
        <w:rPr>
          <w:rFonts w:ascii="CorpoS" w:hAnsi="CorpoS"/>
          <w:sz w:val="22"/>
          <w:szCs w:val="22"/>
          <w:lang w:val="de-DE"/>
        </w:rPr>
        <w:t>Kameritsch</w:t>
      </w:r>
      <w:proofErr w:type="spellEnd"/>
      <w:r w:rsidR="009677D8" w:rsidRPr="0083457F">
        <w:rPr>
          <w:rFonts w:ascii="CorpoS" w:hAnsi="CorpoS"/>
          <w:sz w:val="22"/>
          <w:szCs w:val="22"/>
          <w:lang w:val="de-DE"/>
        </w:rPr>
        <w:t>.</w:t>
      </w:r>
    </w:p>
    <w:p w:rsidR="00C51A14" w:rsidRPr="005A5BBE" w:rsidRDefault="00C51A14" w:rsidP="00C51A14">
      <w:pPr>
        <w:tabs>
          <w:tab w:val="left" w:pos="7655"/>
          <w:tab w:val="left" w:pos="7938"/>
        </w:tabs>
        <w:spacing w:line="300" w:lineRule="exact"/>
        <w:ind w:right="283"/>
        <w:jc w:val="both"/>
        <w:rPr>
          <w:rFonts w:ascii="CorpoS" w:hAnsi="CorpoS"/>
          <w:color w:val="FF0000"/>
          <w:sz w:val="22"/>
          <w:szCs w:val="22"/>
          <w:lang w:val="de-DE"/>
        </w:rPr>
      </w:pPr>
    </w:p>
    <w:p w:rsidR="00C51A14" w:rsidRPr="005A5BBE" w:rsidRDefault="00673BEF" w:rsidP="00673BEF">
      <w:pPr>
        <w:tabs>
          <w:tab w:val="left" w:pos="7655"/>
          <w:tab w:val="left" w:pos="7938"/>
        </w:tabs>
        <w:spacing w:line="300" w:lineRule="exact"/>
        <w:ind w:right="283"/>
        <w:jc w:val="both"/>
        <w:rPr>
          <w:rFonts w:ascii="CorpoS" w:hAnsi="CorpoS"/>
          <w:color w:val="FF0000"/>
          <w:sz w:val="22"/>
          <w:szCs w:val="22"/>
          <w:lang w:val="de-DE"/>
        </w:rPr>
      </w:pPr>
      <w:r w:rsidRPr="00673BEF">
        <w:rPr>
          <w:rFonts w:ascii="CorpoS" w:hAnsi="CorpoS"/>
          <w:sz w:val="22"/>
          <w:szCs w:val="22"/>
          <w:lang w:val="de-DE"/>
        </w:rPr>
        <w:t xml:space="preserve">Die Forschungs- und Entwicklungskosten der MTU lagen am Quartalsende mit 192 Mio. € um 18 % über dem Vergleichswert (1-9/2021: </w:t>
      </w:r>
      <w:r w:rsidR="00DD2182" w:rsidRPr="00673BEF">
        <w:rPr>
          <w:rFonts w:ascii="CorpoS" w:hAnsi="CorpoS"/>
          <w:sz w:val="22"/>
          <w:szCs w:val="22"/>
          <w:lang w:val="de-DE"/>
        </w:rPr>
        <w:t>162</w:t>
      </w:r>
      <w:r w:rsidR="00B95116" w:rsidRPr="00673BEF">
        <w:rPr>
          <w:rFonts w:ascii="CorpoS" w:hAnsi="CorpoS"/>
          <w:sz w:val="22"/>
          <w:szCs w:val="22"/>
          <w:lang w:val="de-DE"/>
        </w:rPr>
        <w:t xml:space="preserve"> Mio. €</w:t>
      </w:r>
      <w:r w:rsidRPr="00673BEF">
        <w:rPr>
          <w:rFonts w:ascii="CorpoS" w:hAnsi="CorpoS"/>
          <w:sz w:val="22"/>
          <w:szCs w:val="22"/>
          <w:lang w:val="de-DE"/>
        </w:rPr>
        <w:t>).</w:t>
      </w:r>
      <w:r w:rsidR="00661D67" w:rsidRPr="005A5BBE">
        <w:rPr>
          <w:rFonts w:ascii="CorpoS" w:hAnsi="CorpoS"/>
          <w:color w:val="FF0000"/>
          <w:sz w:val="22"/>
          <w:szCs w:val="22"/>
          <w:lang w:val="de-DE"/>
        </w:rPr>
        <w:t xml:space="preserve"> </w:t>
      </w:r>
      <w:r w:rsidRPr="0083457F">
        <w:rPr>
          <w:rFonts w:ascii="CorpoS" w:hAnsi="CorpoS"/>
          <w:sz w:val="22"/>
          <w:szCs w:val="22"/>
          <w:lang w:val="de-DE"/>
        </w:rPr>
        <w:t>Die</w:t>
      </w:r>
      <w:bookmarkStart w:id="0" w:name="_GoBack"/>
      <w:bookmarkEnd w:id="0"/>
      <w:r w:rsidRPr="0083457F">
        <w:rPr>
          <w:rFonts w:ascii="CorpoS" w:hAnsi="CorpoS"/>
          <w:sz w:val="22"/>
          <w:szCs w:val="22"/>
          <w:lang w:val="de-DE"/>
        </w:rPr>
        <w:t xml:space="preserve"> MTU legt die Schwerpunkte ihrer </w:t>
      </w:r>
      <w:r w:rsidR="00661D67" w:rsidRPr="0083457F">
        <w:rPr>
          <w:rFonts w:ascii="CorpoS" w:hAnsi="CorpoS"/>
          <w:sz w:val="22"/>
          <w:szCs w:val="22"/>
          <w:lang w:val="de-DE"/>
        </w:rPr>
        <w:t xml:space="preserve">F&amp;E-Tätigkeit </w:t>
      </w:r>
      <w:r w:rsidRPr="0083457F">
        <w:rPr>
          <w:rFonts w:ascii="CorpoS" w:hAnsi="CorpoS"/>
          <w:sz w:val="22"/>
          <w:szCs w:val="22"/>
          <w:lang w:val="de-DE"/>
        </w:rPr>
        <w:t xml:space="preserve">auf Leistungsverbesserungen der Getriebefan-Programme, Technologiestudien für zukünftige Antriebsgenerationen mit den Schwerpunkten Wasserstoff und </w:t>
      </w:r>
      <w:r w:rsidRPr="00713E25">
        <w:rPr>
          <w:rFonts w:ascii="CorpoS" w:hAnsi="CorpoS"/>
          <w:sz w:val="22"/>
          <w:szCs w:val="22"/>
          <w:lang w:val="de-DE"/>
        </w:rPr>
        <w:t xml:space="preserve">fliegende Brennstoffzelle sowie </w:t>
      </w:r>
      <w:r w:rsidR="00A16918">
        <w:rPr>
          <w:rFonts w:ascii="CorpoS" w:hAnsi="CorpoS"/>
          <w:sz w:val="22"/>
          <w:szCs w:val="22"/>
          <w:lang w:val="de-DE"/>
        </w:rPr>
        <w:t>auf</w:t>
      </w:r>
      <w:r w:rsidRPr="00713E25">
        <w:rPr>
          <w:rFonts w:ascii="CorpoS" w:hAnsi="CorpoS"/>
          <w:sz w:val="22"/>
          <w:szCs w:val="22"/>
          <w:lang w:val="de-DE"/>
        </w:rPr>
        <w:t xml:space="preserve"> die Digitalisierung im Triebwerksbau</w:t>
      </w:r>
      <w:r>
        <w:rPr>
          <w:rFonts w:ascii="CorpoS" w:hAnsi="CorpoS"/>
          <w:sz w:val="22"/>
          <w:szCs w:val="22"/>
          <w:lang w:val="de-DE"/>
        </w:rPr>
        <w:t xml:space="preserve">. „Mit unseren </w:t>
      </w:r>
      <w:r w:rsidR="00A0482F">
        <w:rPr>
          <w:rFonts w:ascii="CorpoS" w:hAnsi="CorpoS"/>
          <w:sz w:val="22"/>
          <w:szCs w:val="22"/>
          <w:lang w:val="de-DE"/>
        </w:rPr>
        <w:t>Forschungs- und Entwicklungsaktivitäten t</w:t>
      </w:r>
      <w:r>
        <w:rPr>
          <w:rFonts w:ascii="CorpoS" w:hAnsi="CorpoS"/>
          <w:sz w:val="22"/>
          <w:szCs w:val="22"/>
          <w:lang w:val="de-DE"/>
        </w:rPr>
        <w:t xml:space="preserve">reiben wir </w:t>
      </w:r>
      <w:r w:rsidRPr="00713E25">
        <w:rPr>
          <w:rFonts w:ascii="CorpoS" w:hAnsi="CorpoS"/>
          <w:sz w:val="22"/>
          <w:szCs w:val="22"/>
          <w:lang w:val="de-DE"/>
        </w:rPr>
        <w:t xml:space="preserve">eine nachhaltige, emissionsfreie Luftfahrt </w:t>
      </w:r>
      <w:r>
        <w:rPr>
          <w:rFonts w:ascii="CorpoS" w:hAnsi="CorpoS"/>
          <w:sz w:val="22"/>
          <w:szCs w:val="22"/>
          <w:lang w:val="de-DE"/>
        </w:rPr>
        <w:t xml:space="preserve">aktiv voran und investieren </w:t>
      </w:r>
      <w:r w:rsidRPr="00713E25">
        <w:rPr>
          <w:rFonts w:ascii="CorpoS" w:hAnsi="CorpoS"/>
          <w:sz w:val="22"/>
          <w:szCs w:val="22"/>
          <w:lang w:val="de-DE"/>
        </w:rPr>
        <w:t xml:space="preserve">damit </w:t>
      </w:r>
      <w:r>
        <w:rPr>
          <w:rFonts w:ascii="CorpoS" w:hAnsi="CorpoS"/>
          <w:sz w:val="22"/>
          <w:szCs w:val="22"/>
          <w:lang w:val="de-DE"/>
        </w:rPr>
        <w:t xml:space="preserve">in die Zukunft </w:t>
      </w:r>
      <w:r w:rsidRPr="00713E25">
        <w:rPr>
          <w:rFonts w:ascii="CorpoS" w:hAnsi="CorpoS"/>
          <w:sz w:val="22"/>
          <w:szCs w:val="22"/>
          <w:lang w:val="de-DE"/>
        </w:rPr>
        <w:t>der MTU“, so Winkler</w:t>
      </w:r>
      <w:r>
        <w:rPr>
          <w:rFonts w:ascii="CorpoS" w:hAnsi="CorpoS"/>
          <w:sz w:val="22"/>
          <w:szCs w:val="22"/>
          <w:lang w:val="de-DE"/>
        </w:rPr>
        <w:t>.</w:t>
      </w:r>
    </w:p>
    <w:p w:rsidR="00C51A14" w:rsidRPr="005A5BBE" w:rsidRDefault="00C51A14" w:rsidP="00C51A14">
      <w:pPr>
        <w:tabs>
          <w:tab w:val="left" w:pos="7655"/>
          <w:tab w:val="left" w:pos="9072"/>
        </w:tabs>
        <w:spacing w:line="300" w:lineRule="exact"/>
        <w:ind w:right="283"/>
        <w:jc w:val="both"/>
        <w:rPr>
          <w:rFonts w:ascii="CorpoS" w:hAnsi="CorpoS"/>
          <w:color w:val="FF0000"/>
          <w:sz w:val="22"/>
          <w:szCs w:val="22"/>
          <w:lang w:val="de-DE"/>
        </w:rPr>
      </w:pPr>
    </w:p>
    <w:p w:rsidR="00C51A14" w:rsidRPr="005A5BBE" w:rsidRDefault="00FA4490" w:rsidP="00C51A14">
      <w:pPr>
        <w:tabs>
          <w:tab w:val="left" w:pos="7655"/>
          <w:tab w:val="left" w:pos="9072"/>
        </w:tabs>
        <w:spacing w:line="300" w:lineRule="exact"/>
        <w:ind w:right="283"/>
        <w:jc w:val="both"/>
        <w:rPr>
          <w:rFonts w:ascii="CorpoS" w:hAnsi="CorpoS"/>
          <w:color w:val="FF0000"/>
          <w:sz w:val="22"/>
          <w:szCs w:val="22"/>
          <w:lang w:val="de-DE"/>
        </w:rPr>
      </w:pPr>
      <w:r w:rsidRPr="00600333">
        <w:rPr>
          <w:rFonts w:ascii="CorpoS" w:hAnsi="CorpoS"/>
          <w:sz w:val="22"/>
          <w:szCs w:val="22"/>
          <w:lang w:val="de-DE"/>
        </w:rPr>
        <w:lastRenderedPageBreak/>
        <w:t>D</w:t>
      </w:r>
      <w:r w:rsidR="003A74F5" w:rsidRPr="00600333">
        <w:rPr>
          <w:rFonts w:ascii="CorpoS" w:hAnsi="CorpoS"/>
          <w:sz w:val="22"/>
          <w:szCs w:val="22"/>
          <w:lang w:val="de-DE"/>
        </w:rPr>
        <w:t>e</w:t>
      </w:r>
      <w:r w:rsidR="0014255E" w:rsidRPr="00600333">
        <w:rPr>
          <w:rFonts w:ascii="CorpoS" w:hAnsi="CorpoS"/>
          <w:sz w:val="22"/>
          <w:szCs w:val="22"/>
          <w:lang w:val="de-DE"/>
        </w:rPr>
        <w:t>r</w:t>
      </w:r>
      <w:r w:rsidR="003A74F5" w:rsidRPr="00600333">
        <w:rPr>
          <w:rFonts w:ascii="CorpoS" w:hAnsi="CorpoS"/>
          <w:sz w:val="22"/>
          <w:szCs w:val="22"/>
          <w:lang w:val="de-DE"/>
        </w:rPr>
        <w:t xml:space="preserve"> Free Cashflow </w:t>
      </w:r>
      <w:r w:rsidR="0014255E" w:rsidRPr="00600333">
        <w:rPr>
          <w:rFonts w:ascii="CorpoS" w:hAnsi="CorpoS"/>
          <w:sz w:val="22"/>
          <w:szCs w:val="22"/>
          <w:lang w:val="de-DE"/>
        </w:rPr>
        <w:t>der</w:t>
      </w:r>
      <w:r w:rsidR="00B95116" w:rsidRPr="00600333">
        <w:rPr>
          <w:rFonts w:ascii="CorpoS" w:hAnsi="CorpoS"/>
          <w:sz w:val="22"/>
          <w:szCs w:val="22"/>
          <w:lang w:val="de-DE"/>
        </w:rPr>
        <w:t xml:space="preserve"> MTU </w:t>
      </w:r>
      <w:r w:rsidR="00E6184B">
        <w:rPr>
          <w:rFonts w:ascii="CorpoS" w:hAnsi="CorpoS"/>
          <w:sz w:val="22"/>
          <w:szCs w:val="22"/>
          <w:lang w:val="de-DE"/>
        </w:rPr>
        <w:t>erreichte</w:t>
      </w:r>
      <w:r w:rsidR="00600333" w:rsidRPr="00600333">
        <w:rPr>
          <w:rFonts w:ascii="CorpoS" w:hAnsi="CorpoS"/>
          <w:sz w:val="22"/>
          <w:szCs w:val="22"/>
          <w:lang w:val="de-DE"/>
        </w:rPr>
        <w:t xml:space="preserve"> Ende September 219 Mio. € und </w:t>
      </w:r>
      <w:r w:rsidR="00E6184B">
        <w:rPr>
          <w:rFonts w:ascii="CorpoS" w:hAnsi="CorpoS"/>
          <w:sz w:val="22"/>
          <w:szCs w:val="22"/>
          <w:lang w:val="de-DE"/>
        </w:rPr>
        <w:t xml:space="preserve">lag </w:t>
      </w:r>
      <w:r w:rsidR="00600333" w:rsidRPr="00600333">
        <w:rPr>
          <w:rFonts w:ascii="CorpoS" w:hAnsi="CorpoS"/>
          <w:sz w:val="22"/>
          <w:szCs w:val="22"/>
          <w:lang w:val="de-DE"/>
        </w:rPr>
        <w:t xml:space="preserve">damit um 7 % </w:t>
      </w:r>
      <w:r w:rsidR="00E6184B">
        <w:rPr>
          <w:rFonts w:ascii="CorpoS" w:hAnsi="CorpoS"/>
          <w:sz w:val="22"/>
          <w:szCs w:val="22"/>
          <w:lang w:val="de-DE"/>
        </w:rPr>
        <w:t xml:space="preserve">höher als im gleichen Vorjahreszeitraum (1-9/2021: </w:t>
      </w:r>
      <w:r w:rsidR="00600333" w:rsidRPr="00600333">
        <w:rPr>
          <w:rFonts w:ascii="CorpoS" w:hAnsi="CorpoS"/>
          <w:sz w:val="22"/>
          <w:szCs w:val="22"/>
          <w:lang w:val="de-DE"/>
        </w:rPr>
        <w:t xml:space="preserve">205 Mio. </w:t>
      </w:r>
      <w:r w:rsidR="00600333" w:rsidRPr="00792985">
        <w:rPr>
          <w:rFonts w:ascii="CorpoS" w:hAnsi="CorpoS"/>
          <w:sz w:val="22"/>
          <w:szCs w:val="22"/>
          <w:lang w:val="de-DE"/>
        </w:rPr>
        <w:t>€</w:t>
      </w:r>
      <w:r w:rsidR="00E6184B" w:rsidRPr="00792985">
        <w:rPr>
          <w:rFonts w:ascii="CorpoS" w:hAnsi="CorpoS"/>
          <w:sz w:val="22"/>
          <w:szCs w:val="22"/>
          <w:lang w:val="de-DE"/>
        </w:rPr>
        <w:t>)</w:t>
      </w:r>
      <w:r w:rsidR="002C58E4" w:rsidRPr="00792985">
        <w:rPr>
          <w:rFonts w:ascii="CorpoS" w:hAnsi="CorpoS"/>
          <w:sz w:val="22"/>
          <w:szCs w:val="22"/>
          <w:lang w:val="de-DE"/>
        </w:rPr>
        <w:t>.</w:t>
      </w:r>
      <w:r w:rsidR="00B95116" w:rsidRPr="00792985">
        <w:rPr>
          <w:rFonts w:ascii="CorpoS" w:hAnsi="CorpoS"/>
          <w:sz w:val="22"/>
          <w:szCs w:val="22"/>
          <w:lang w:val="de-DE"/>
        </w:rPr>
        <w:t xml:space="preserve"> „</w:t>
      </w:r>
      <w:r w:rsidR="00792985" w:rsidRPr="00792985">
        <w:rPr>
          <w:rFonts w:ascii="CorpoS" w:hAnsi="CorpoS"/>
          <w:sz w:val="22"/>
          <w:szCs w:val="22"/>
          <w:lang w:val="de-DE"/>
        </w:rPr>
        <w:t>Damit bewegen wir uns klar im Rahmen unserer Erwartungen für das Gesamtjahr</w:t>
      </w:r>
      <w:r w:rsidR="00DC6A34" w:rsidRPr="00792985">
        <w:rPr>
          <w:rFonts w:ascii="CorpoS" w:hAnsi="CorpoS"/>
          <w:sz w:val="22"/>
          <w:szCs w:val="22"/>
          <w:lang w:val="de-DE"/>
        </w:rPr>
        <w:t xml:space="preserve">“, </w:t>
      </w:r>
      <w:r w:rsidR="00A16918">
        <w:rPr>
          <w:rFonts w:ascii="CorpoS" w:hAnsi="CorpoS"/>
          <w:sz w:val="22"/>
          <w:szCs w:val="22"/>
          <w:lang w:val="de-DE"/>
        </w:rPr>
        <w:t>sagte</w:t>
      </w:r>
      <w:r w:rsidR="00DC6A34" w:rsidRPr="00792985">
        <w:rPr>
          <w:rFonts w:ascii="CorpoS" w:hAnsi="CorpoS"/>
          <w:sz w:val="22"/>
          <w:szCs w:val="22"/>
          <w:lang w:val="de-DE"/>
        </w:rPr>
        <w:t xml:space="preserve"> </w:t>
      </w:r>
      <w:proofErr w:type="spellStart"/>
      <w:r w:rsidR="00DC6A34" w:rsidRPr="00792985">
        <w:rPr>
          <w:rFonts w:ascii="CorpoS" w:hAnsi="CorpoS"/>
          <w:sz w:val="22"/>
          <w:szCs w:val="22"/>
          <w:lang w:val="de-DE"/>
        </w:rPr>
        <w:t>Kameritsch</w:t>
      </w:r>
      <w:proofErr w:type="spellEnd"/>
      <w:r w:rsidR="00DC6A34" w:rsidRPr="00792985">
        <w:rPr>
          <w:rFonts w:ascii="CorpoS" w:hAnsi="CorpoS"/>
          <w:sz w:val="22"/>
          <w:szCs w:val="22"/>
          <w:lang w:val="de-DE"/>
        </w:rPr>
        <w:t>.</w:t>
      </w:r>
    </w:p>
    <w:p w:rsidR="00E05E93" w:rsidRDefault="00E05E93" w:rsidP="00C51A14">
      <w:pPr>
        <w:tabs>
          <w:tab w:val="left" w:pos="7655"/>
          <w:tab w:val="left" w:pos="9072"/>
        </w:tabs>
        <w:spacing w:line="300" w:lineRule="exact"/>
        <w:ind w:right="283"/>
        <w:jc w:val="both"/>
        <w:rPr>
          <w:rFonts w:ascii="CorpoS" w:hAnsi="CorpoS"/>
          <w:sz w:val="22"/>
          <w:szCs w:val="22"/>
          <w:lang w:val="de-DE"/>
        </w:rPr>
      </w:pPr>
    </w:p>
    <w:p w:rsidR="00C51A14" w:rsidRPr="00600333" w:rsidRDefault="00B95116" w:rsidP="00C51A14">
      <w:pPr>
        <w:tabs>
          <w:tab w:val="left" w:pos="7655"/>
          <w:tab w:val="left" w:pos="9072"/>
        </w:tabs>
        <w:spacing w:line="300" w:lineRule="exact"/>
        <w:ind w:right="283"/>
        <w:jc w:val="both"/>
        <w:rPr>
          <w:rFonts w:ascii="CorpoS" w:hAnsi="CorpoS"/>
          <w:sz w:val="22"/>
          <w:szCs w:val="22"/>
          <w:lang w:val="de-DE"/>
        </w:rPr>
      </w:pPr>
      <w:r w:rsidRPr="00600333">
        <w:rPr>
          <w:rFonts w:ascii="CorpoS" w:hAnsi="CorpoS"/>
          <w:sz w:val="22"/>
          <w:szCs w:val="22"/>
          <w:lang w:val="de-DE"/>
        </w:rPr>
        <w:t xml:space="preserve">Die Netto-Auszahlungen in </w:t>
      </w:r>
      <w:r w:rsidR="00972A32" w:rsidRPr="00600333">
        <w:rPr>
          <w:rFonts w:ascii="CorpoS" w:hAnsi="CorpoS"/>
          <w:sz w:val="22"/>
          <w:szCs w:val="22"/>
          <w:lang w:val="de-DE"/>
        </w:rPr>
        <w:t xml:space="preserve">Sachanlagen </w:t>
      </w:r>
      <w:r w:rsidRPr="00600333">
        <w:rPr>
          <w:rFonts w:ascii="CorpoS" w:hAnsi="CorpoS"/>
          <w:sz w:val="22"/>
          <w:szCs w:val="22"/>
          <w:lang w:val="de-DE"/>
        </w:rPr>
        <w:t xml:space="preserve">sind in den ersten neun Monaten </w:t>
      </w:r>
      <w:r w:rsidR="00355763" w:rsidRPr="00600333">
        <w:rPr>
          <w:rFonts w:ascii="CorpoS" w:hAnsi="CorpoS"/>
          <w:sz w:val="22"/>
          <w:szCs w:val="22"/>
          <w:lang w:val="de-DE"/>
        </w:rPr>
        <w:t xml:space="preserve">um </w:t>
      </w:r>
      <w:r w:rsidR="00600333" w:rsidRPr="00600333">
        <w:rPr>
          <w:rFonts w:ascii="CorpoS" w:hAnsi="CorpoS"/>
          <w:sz w:val="22"/>
          <w:szCs w:val="22"/>
          <w:lang w:val="de-DE"/>
        </w:rPr>
        <w:t>45</w:t>
      </w:r>
      <w:r w:rsidR="00355763" w:rsidRPr="00600333">
        <w:rPr>
          <w:rFonts w:ascii="CorpoS" w:hAnsi="CorpoS"/>
          <w:sz w:val="22"/>
          <w:szCs w:val="22"/>
          <w:lang w:val="de-DE"/>
        </w:rPr>
        <w:t xml:space="preserve"> % auf </w:t>
      </w:r>
      <w:r w:rsidR="00600333" w:rsidRPr="00600333">
        <w:rPr>
          <w:rFonts w:ascii="CorpoS" w:hAnsi="CorpoS"/>
          <w:sz w:val="22"/>
          <w:szCs w:val="22"/>
          <w:lang w:val="de-DE"/>
        </w:rPr>
        <w:t>170</w:t>
      </w:r>
      <w:r w:rsidR="00355763" w:rsidRPr="00600333">
        <w:rPr>
          <w:rFonts w:ascii="CorpoS" w:hAnsi="CorpoS"/>
          <w:sz w:val="22"/>
          <w:szCs w:val="22"/>
          <w:lang w:val="de-DE"/>
        </w:rPr>
        <w:t xml:space="preserve"> Mio. € </w:t>
      </w:r>
      <w:r w:rsidR="00600333" w:rsidRPr="00600333">
        <w:rPr>
          <w:rFonts w:ascii="CorpoS" w:hAnsi="CorpoS"/>
          <w:sz w:val="22"/>
          <w:szCs w:val="22"/>
          <w:lang w:val="de-DE"/>
        </w:rPr>
        <w:t>gestiegen (1-9/2021</w:t>
      </w:r>
      <w:r w:rsidR="00355763" w:rsidRPr="00600333">
        <w:rPr>
          <w:rFonts w:ascii="CorpoS" w:hAnsi="CorpoS"/>
          <w:sz w:val="22"/>
          <w:szCs w:val="22"/>
          <w:lang w:val="de-DE"/>
        </w:rPr>
        <w:t xml:space="preserve">: </w:t>
      </w:r>
      <w:r w:rsidR="00600333" w:rsidRPr="00600333">
        <w:rPr>
          <w:rFonts w:ascii="CorpoS" w:hAnsi="CorpoS"/>
          <w:sz w:val="22"/>
          <w:szCs w:val="22"/>
          <w:lang w:val="de-DE"/>
        </w:rPr>
        <w:t>117</w:t>
      </w:r>
      <w:r w:rsidR="00355763" w:rsidRPr="00600333">
        <w:rPr>
          <w:rFonts w:ascii="CorpoS" w:hAnsi="CorpoS"/>
          <w:sz w:val="22"/>
          <w:szCs w:val="22"/>
          <w:lang w:val="de-DE"/>
        </w:rPr>
        <w:t xml:space="preserve"> Mio. €)</w:t>
      </w:r>
      <w:r w:rsidR="0048381E" w:rsidRPr="00600333">
        <w:rPr>
          <w:rFonts w:ascii="CorpoS" w:hAnsi="CorpoS"/>
          <w:sz w:val="22"/>
          <w:szCs w:val="22"/>
          <w:lang w:val="de-DE"/>
        </w:rPr>
        <w:t>.</w:t>
      </w:r>
    </w:p>
    <w:p w:rsidR="00C51A14" w:rsidRPr="00600333" w:rsidRDefault="00C51A14" w:rsidP="00C51A14">
      <w:pPr>
        <w:tabs>
          <w:tab w:val="left" w:pos="7655"/>
          <w:tab w:val="left" w:pos="9072"/>
        </w:tabs>
        <w:spacing w:line="300" w:lineRule="exact"/>
        <w:ind w:right="283"/>
        <w:jc w:val="both"/>
        <w:rPr>
          <w:rFonts w:ascii="CorpoS" w:hAnsi="CorpoS"/>
          <w:sz w:val="22"/>
          <w:szCs w:val="22"/>
          <w:lang w:val="de-DE"/>
        </w:rPr>
      </w:pPr>
    </w:p>
    <w:p w:rsidR="002A20B0" w:rsidRPr="00600333" w:rsidRDefault="00600333" w:rsidP="00C51A14">
      <w:pPr>
        <w:tabs>
          <w:tab w:val="left" w:pos="7655"/>
          <w:tab w:val="left" w:pos="9072"/>
        </w:tabs>
        <w:spacing w:line="300" w:lineRule="exact"/>
        <w:ind w:right="283"/>
        <w:jc w:val="both"/>
        <w:rPr>
          <w:rFonts w:ascii="CorpoS" w:hAnsi="CorpoS"/>
          <w:sz w:val="22"/>
          <w:szCs w:val="22"/>
          <w:lang w:val="de-DE"/>
        </w:rPr>
      </w:pPr>
      <w:r w:rsidRPr="00600333">
        <w:rPr>
          <w:rFonts w:ascii="CorpoS" w:eastAsia="SimSun" w:hAnsi="CorpoS"/>
          <w:sz w:val="22"/>
          <w:szCs w:val="22"/>
          <w:lang w:val="de-DE" w:eastAsia="zh-CN"/>
        </w:rPr>
        <w:t xml:space="preserve">Ende September hatte die MTU </w:t>
      </w:r>
      <w:r w:rsidR="00AF1055" w:rsidRPr="00600333">
        <w:rPr>
          <w:rFonts w:ascii="CorpoS" w:eastAsia="SimSun" w:hAnsi="CorpoS"/>
          <w:sz w:val="22"/>
          <w:szCs w:val="22"/>
          <w:lang w:val="de-DE" w:eastAsia="zh-CN"/>
        </w:rPr>
        <w:t>1</w:t>
      </w:r>
      <w:r w:rsidRPr="00600333">
        <w:rPr>
          <w:rFonts w:ascii="CorpoS" w:eastAsia="SimSun" w:hAnsi="CorpoS"/>
          <w:sz w:val="22"/>
          <w:szCs w:val="22"/>
          <w:lang w:val="de-DE" w:eastAsia="zh-CN"/>
        </w:rPr>
        <w:t>1</w:t>
      </w:r>
      <w:r w:rsidR="00AF1055" w:rsidRPr="00600333">
        <w:rPr>
          <w:rFonts w:ascii="CorpoS" w:eastAsia="SimSun" w:hAnsi="CorpoS"/>
          <w:sz w:val="22"/>
          <w:szCs w:val="22"/>
          <w:lang w:val="de-DE" w:eastAsia="zh-CN"/>
        </w:rPr>
        <w:t>.</w:t>
      </w:r>
      <w:r w:rsidRPr="00600333">
        <w:rPr>
          <w:rFonts w:ascii="CorpoS" w:eastAsia="SimSun" w:hAnsi="CorpoS"/>
          <w:sz w:val="22"/>
          <w:szCs w:val="22"/>
          <w:lang w:val="de-DE" w:eastAsia="zh-CN"/>
        </w:rPr>
        <w:t>008</w:t>
      </w:r>
      <w:r w:rsidR="00355763" w:rsidRPr="00600333">
        <w:rPr>
          <w:rFonts w:ascii="CorpoS" w:eastAsia="SimSun" w:hAnsi="CorpoS"/>
          <w:sz w:val="22"/>
          <w:szCs w:val="22"/>
          <w:lang w:val="de-DE" w:eastAsia="zh-CN"/>
        </w:rPr>
        <w:t xml:space="preserve"> </w:t>
      </w:r>
      <w:proofErr w:type="spellStart"/>
      <w:r w:rsidR="00AF1055" w:rsidRPr="00600333">
        <w:rPr>
          <w:rFonts w:ascii="CorpoS" w:eastAsia="SimSun" w:hAnsi="CorpoS"/>
          <w:sz w:val="22"/>
          <w:szCs w:val="22"/>
          <w:lang w:val="de-DE" w:eastAsia="zh-CN"/>
        </w:rPr>
        <w:t>Mitarbeiter</w:t>
      </w:r>
      <w:r w:rsidR="00641C70" w:rsidRPr="00600333">
        <w:rPr>
          <w:rFonts w:ascii="CorpoS" w:eastAsia="SimSun" w:hAnsi="CorpoS"/>
          <w:sz w:val="22"/>
          <w:szCs w:val="22"/>
          <w:lang w:val="de-DE" w:eastAsia="zh-CN"/>
        </w:rPr>
        <w:t>:innen</w:t>
      </w:r>
      <w:proofErr w:type="spellEnd"/>
      <w:r w:rsidRPr="00600333">
        <w:rPr>
          <w:rFonts w:ascii="CorpoS" w:eastAsia="SimSun" w:hAnsi="CorpoS"/>
          <w:sz w:val="22"/>
          <w:szCs w:val="22"/>
          <w:lang w:val="de-DE" w:eastAsia="zh-CN"/>
        </w:rPr>
        <w:t xml:space="preserve">, 5 % mehr als am Jahresende 2021 (31.12.2021: 10.508 </w:t>
      </w:r>
      <w:proofErr w:type="spellStart"/>
      <w:r w:rsidRPr="00600333">
        <w:rPr>
          <w:rFonts w:ascii="CorpoS" w:eastAsia="SimSun" w:hAnsi="CorpoS"/>
          <w:sz w:val="22"/>
          <w:szCs w:val="22"/>
          <w:lang w:val="de-DE" w:eastAsia="zh-CN"/>
        </w:rPr>
        <w:t>Mitarbeiter:innen</w:t>
      </w:r>
      <w:proofErr w:type="spellEnd"/>
      <w:r w:rsidRPr="00600333">
        <w:rPr>
          <w:rFonts w:ascii="CorpoS" w:eastAsia="SimSun" w:hAnsi="CorpoS"/>
          <w:sz w:val="22"/>
          <w:szCs w:val="22"/>
          <w:lang w:val="de-DE" w:eastAsia="zh-CN"/>
        </w:rPr>
        <w:t>)</w:t>
      </w:r>
      <w:r w:rsidR="00355763" w:rsidRPr="00600333">
        <w:rPr>
          <w:rFonts w:ascii="CorpoS" w:eastAsia="SimSun" w:hAnsi="CorpoS"/>
          <w:sz w:val="22"/>
          <w:szCs w:val="22"/>
          <w:lang w:val="de-DE" w:eastAsia="zh-CN"/>
        </w:rPr>
        <w:t>.</w:t>
      </w:r>
      <w:r>
        <w:rPr>
          <w:rFonts w:ascii="CorpoS" w:eastAsia="SimSun" w:hAnsi="CorpoS"/>
          <w:sz w:val="22"/>
          <w:szCs w:val="22"/>
          <w:lang w:val="de-DE" w:eastAsia="zh-CN"/>
        </w:rPr>
        <w:t xml:space="preserve"> </w:t>
      </w:r>
      <w:r w:rsidR="00B14FBD">
        <w:rPr>
          <w:rFonts w:ascii="CorpoS" w:eastAsia="SimSun" w:hAnsi="CorpoS"/>
          <w:sz w:val="22"/>
          <w:szCs w:val="22"/>
          <w:lang w:val="de-DE" w:eastAsia="zh-CN"/>
        </w:rPr>
        <w:t xml:space="preserve">Die meisten Neueinstellungen gab es </w:t>
      </w:r>
      <w:r w:rsidR="00B070D4">
        <w:rPr>
          <w:rFonts w:ascii="CorpoS" w:eastAsia="SimSun" w:hAnsi="CorpoS"/>
          <w:sz w:val="22"/>
          <w:szCs w:val="22"/>
          <w:lang w:val="de-DE" w:eastAsia="zh-CN"/>
        </w:rPr>
        <w:t>an den Standorten in München, Polen und Serbien. Winkler: „</w:t>
      </w:r>
      <w:r w:rsidR="00A14E2A">
        <w:rPr>
          <w:rFonts w:ascii="CorpoS" w:eastAsia="SimSun" w:hAnsi="CorpoS"/>
          <w:sz w:val="22"/>
          <w:szCs w:val="22"/>
          <w:lang w:val="de-DE" w:eastAsia="zh-CN"/>
        </w:rPr>
        <w:t xml:space="preserve">Die Neueinstellungen unterstützen </w:t>
      </w:r>
      <w:r w:rsidR="00B070D4">
        <w:rPr>
          <w:rFonts w:ascii="CorpoS" w:eastAsia="SimSun" w:hAnsi="CorpoS"/>
          <w:sz w:val="22"/>
          <w:szCs w:val="22"/>
          <w:lang w:val="de-DE" w:eastAsia="zh-CN"/>
        </w:rPr>
        <w:t xml:space="preserve">die Digitalisierung im Triebwerksbau </w:t>
      </w:r>
      <w:r w:rsidR="00A14E2A">
        <w:rPr>
          <w:rFonts w:ascii="CorpoS" w:eastAsia="SimSun" w:hAnsi="CorpoS"/>
          <w:sz w:val="22"/>
          <w:szCs w:val="22"/>
          <w:lang w:val="de-DE" w:eastAsia="zh-CN"/>
        </w:rPr>
        <w:t>ebenso wie den Ausbau unserer</w:t>
      </w:r>
      <w:r w:rsidR="00B070D4">
        <w:rPr>
          <w:rFonts w:ascii="CorpoS" w:eastAsia="SimSun" w:hAnsi="CorpoS"/>
          <w:sz w:val="22"/>
          <w:szCs w:val="22"/>
          <w:lang w:val="de-DE" w:eastAsia="zh-CN"/>
        </w:rPr>
        <w:t xml:space="preserve"> Best-</w:t>
      </w:r>
      <w:proofErr w:type="spellStart"/>
      <w:r w:rsidR="00B070D4">
        <w:rPr>
          <w:rFonts w:ascii="CorpoS" w:eastAsia="SimSun" w:hAnsi="CorpoS"/>
          <w:sz w:val="22"/>
          <w:szCs w:val="22"/>
          <w:lang w:val="de-DE" w:eastAsia="zh-CN"/>
        </w:rPr>
        <w:t>Cost</w:t>
      </w:r>
      <w:proofErr w:type="spellEnd"/>
      <w:r w:rsidR="00B070D4">
        <w:rPr>
          <w:rFonts w:ascii="CorpoS" w:eastAsia="SimSun" w:hAnsi="CorpoS"/>
          <w:sz w:val="22"/>
          <w:szCs w:val="22"/>
          <w:lang w:val="de-DE" w:eastAsia="zh-CN"/>
        </w:rPr>
        <w:t>-Strategie.“</w:t>
      </w: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B57F6C" w:rsidRDefault="00B57F6C" w:rsidP="00C51A14">
      <w:pPr>
        <w:tabs>
          <w:tab w:val="left" w:pos="7655"/>
          <w:tab w:val="left" w:pos="9072"/>
        </w:tabs>
        <w:spacing w:line="300" w:lineRule="exact"/>
        <w:ind w:right="283"/>
        <w:jc w:val="both"/>
        <w:rPr>
          <w:rFonts w:ascii="CorpoS" w:hAnsi="CorpoS"/>
          <w:sz w:val="22"/>
          <w:szCs w:val="22"/>
          <w:lang w:val="de-DE"/>
        </w:rPr>
      </w:pPr>
    </w:p>
    <w:p w:rsidR="00B57F6C" w:rsidRDefault="00B57F6C" w:rsidP="00C51A14">
      <w:pPr>
        <w:tabs>
          <w:tab w:val="left" w:pos="7655"/>
          <w:tab w:val="left" w:pos="9072"/>
        </w:tabs>
        <w:spacing w:line="300" w:lineRule="exact"/>
        <w:ind w:right="283"/>
        <w:jc w:val="both"/>
        <w:rPr>
          <w:rFonts w:ascii="CorpoS" w:hAnsi="CorpoS"/>
          <w:sz w:val="22"/>
          <w:szCs w:val="22"/>
          <w:lang w:val="de-DE"/>
        </w:rPr>
      </w:pPr>
    </w:p>
    <w:p w:rsidR="00B57F6C" w:rsidRDefault="00B57F6C" w:rsidP="00C51A14">
      <w:pPr>
        <w:tabs>
          <w:tab w:val="left" w:pos="7655"/>
          <w:tab w:val="left" w:pos="9072"/>
        </w:tabs>
        <w:spacing w:line="300" w:lineRule="exact"/>
        <w:ind w:right="283"/>
        <w:jc w:val="both"/>
        <w:rPr>
          <w:rFonts w:ascii="CorpoS" w:hAnsi="CorpoS"/>
          <w:sz w:val="22"/>
          <w:szCs w:val="22"/>
          <w:lang w:val="de-DE"/>
        </w:rPr>
      </w:pPr>
    </w:p>
    <w:p w:rsidR="00766743" w:rsidRPr="0063424C" w:rsidRDefault="0079305F" w:rsidP="00766743">
      <w:pPr>
        <w:tabs>
          <w:tab w:val="left" w:pos="7655"/>
          <w:tab w:val="left" w:pos="9072"/>
        </w:tabs>
        <w:spacing w:line="300" w:lineRule="exact"/>
        <w:ind w:right="283"/>
        <w:jc w:val="both"/>
        <w:rPr>
          <w:rFonts w:ascii="CorpoS" w:hAnsi="CorpoS"/>
          <w:b/>
          <w:sz w:val="22"/>
          <w:szCs w:val="22"/>
          <w:lang w:val="de-DE"/>
        </w:rPr>
      </w:pPr>
      <w:r w:rsidRPr="0063424C">
        <w:rPr>
          <w:rFonts w:ascii="CorpoS" w:hAnsi="CorpoS"/>
          <w:b/>
          <w:sz w:val="22"/>
          <w:szCs w:val="22"/>
          <w:lang w:val="de-DE"/>
        </w:rPr>
        <w:t xml:space="preserve">MTU Aero Engines – Eckdaten </w:t>
      </w:r>
      <w:r w:rsidR="002C2460" w:rsidRPr="0063424C">
        <w:rPr>
          <w:rFonts w:ascii="CorpoS" w:hAnsi="CorpoS"/>
          <w:b/>
          <w:sz w:val="22"/>
          <w:szCs w:val="22"/>
          <w:lang w:val="de-DE"/>
        </w:rPr>
        <w:t>3. Quartal</w:t>
      </w:r>
      <w:r w:rsidR="0030178E">
        <w:rPr>
          <w:rFonts w:ascii="CorpoS" w:hAnsi="CorpoS"/>
          <w:b/>
          <w:sz w:val="22"/>
          <w:szCs w:val="22"/>
          <w:lang w:val="de-DE"/>
        </w:rPr>
        <w:t xml:space="preserve"> 202</w:t>
      </w:r>
      <w:r w:rsidR="005A5BBE">
        <w:rPr>
          <w:rFonts w:ascii="CorpoS" w:hAnsi="CorpoS"/>
          <w:b/>
          <w:sz w:val="22"/>
          <w:szCs w:val="22"/>
          <w:lang w:val="de-DE"/>
        </w:rPr>
        <w:t>2</w:t>
      </w:r>
    </w:p>
    <w:p w:rsidR="001F34ED" w:rsidRPr="0063424C" w:rsidRDefault="00766743" w:rsidP="00766743">
      <w:pPr>
        <w:tabs>
          <w:tab w:val="left" w:pos="7938"/>
        </w:tabs>
        <w:autoSpaceDE w:val="0"/>
        <w:autoSpaceDN w:val="0"/>
        <w:adjustRightInd w:val="0"/>
        <w:ind w:right="283"/>
        <w:rPr>
          <w:rFonts w:ascii="CorpoS" w:hAnsi="CorpoS"/>
          <w:i/>
          <w:sz w:val="18"/>
          <w:szCs w:val="18"/>
          <w:lang w:val="de-DE"/>
        </w:rPr>
      </w:pPr>
      <w:r w:rsidRPr="0063424C">
        <w:rPr>
          <w:rFonts w:ascii="CorpoS" w:hAnsi="CorpoS"/>
          <w:i/>
          <w:sz w:val="18"/>
          <w:szCs w:val="18"/>
          <w:lang w:val="de-DE"/>
        </w:rPr>
        <w:t>(Beträge in Mio. €</w:t>
      </w:r>
      <w:r w:rsidR="00701B52" w:rsidRPr="0063424C">
        <w:rPr>
          <w:rFonts w:ascii="CorpoS" w:hAnsi="CorpoS"/>
          <w:i/>
          <w:sz w:val="18"/>
          <w:szCs w:val="18"/>
          <w:lang w:val="de-DE"/>
        </w:rPr>
        <w:t>)</w:t>
      </w:r>
    </w:p>
    <w:p w:rsidR="00BB0EA9" w:rsidRPr="0063424C" w:rsidRDefault="00BB0EA9"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b/>
                <w:sz w:val="22"/>
                <w:szCs w:val="22"/>
                <w:lang w:val="de-DE"/>
              </w:rPr>
            </w:pPr>
            <w:r w:rsidRPr="000E11FC">
              <w:rPr>
                <w:rFonts w:ascii="CorpoS" w:hAnsi="CorpoS"/>
                <w:b/>
                <w:sz w:val="22"/>
                <w:szCs w:val="22"/>
                <w:lang w:val="de-DE"/>
              </w:rPr>
              <w:t xml:space="preserve">MTU </w:t>
            </w:r>
            <w:proofErr w:type="spellStart"/>
            <w:r w:rsidRPr="000E11FC">
              <w:rPr>
                <w:rFonts w:ascii="CorpoS" w:hAnsi="CorpoS"/>
                <w:b/>
                <w:sz w:val="22"/>
                <w:szCs w:val="22"/>
                <w:lang w:val="de-DE"/>
              </w:rPr>
              <w:t>Aero</w:t>
            </w:r>
            <w:proofErr w:type="spellEnd"/>
            <w:r w:rsidRPr="000E11FC">
              <w:rPr>
                <w:rFonts w:ascii="CorpoS" w:hAnsi="CorpoS"/>
                <w:b/>
                <w:sz w:val="22"/>
                <w:szCs w:val="22"/>
                <w:lang w:val="de-DE"/>
              </w:rPr>
              <w:t xml:space="preserve"> </w:t>
            </w:r>
            <w:proofErr w:type="spellStart"/>
            <w:r w:rsidRPr="000E11FC">
              <w:rPr>
                <w:rFonts w:ascii="CorpoS" w:hAnsi="CorpoS"/>
                <w:b/>
                <w:sz w:val="22"/>
                <w:szCs w:val="22"/>
                <w:lang w:val="de-DE"/>
              </w:rPr>
              <w:t>Engines</w:t>
            </w:r>
            <w:proofErr w:type="spellEnd"/>
          </w:p>
          <w:p w:rsidR="002C2460" w:rsidRPr="000E11F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rsidR="002C2460" w:rsidRPr="000E11FC" w:rsidRDefault="002C2460" w:rsidP="00AE411C">
            <w:pPr>
              <w:jc w:val="right"/>
              <w:rPr>
                <w:rFonts w:ascii="CorpoS" w:hAnsi="CorpoS"/>
                <w:b/>
                <w:sz w:val="22"/>
                <w:szCs w:val="22"/>
                <w:lang w:val="de-DE"/>
              </w:rPr>
            </w:pPr>
            <w:r w:rsidRPr="000E11FC">
              <w:rPr>
                <w:rFonts w:ascii="CorpoS" w:hAnsi="CorpoS"/>
                <w:b/>
                <w:sz w:val="22"/>
                <w:szCs w:val="22"/>
                <w:lang w:val="de-DE"/>
              </w:rPr>
              <w:t>Q3 20</w:t>
            </w:r>
            <w:r w:rsidR="0030178E" w:rsidRPr="000E11FC">
              <w:rPr>
                <w:rFonts w:ascii="CorpoS" w:hAnsi="CorpoS"/>
                <w:b/>
                <w:sz w:val="22"/>
                <w:szCs w:val="22"/>
                <w:lang w:val="de-DE"/>
              </w:rPr>
              <w:t>2</w:t>
            </w:r>
            <w:r w:rsidR="00AE411C">
              <w:rPr>
                <w:rFonts w:ascii="CorpoS" w:hAnsi="CorpoS"/>
                <w:b/>
                <w:sz w:val="22"/>
                <w:szCs w:val="22"/>
                <w:lang w:val="de-DE"/>
              </w:rPr>
              <w:t>1</w:t>
            </w:r>
          </w:p>
        </w:tc>
        <w:tc>
          <w:tcPr>
            <w:tcW w:w="1134" w:type="dxa"/>
            <w:tcBorders>
              <w:left w:val="single" w:sz="4" w:space="0" w:color="auto"/>
              <w:right w:val="single" w:sz="18" w:space="0" w:color="auto"/>
            </w:tcBorders>
          </w:tcPr>
          <w:p w:rsidR="002C2460" w:rsidRPr="000E11FC" w:rsidRDefault="002C2460" w:rsidP="0030178E">
            <w:pPr>
              <w:jc w:val="right"/>
              <w:rPr>
                <w:rFonts w:ascii="CorpoS" w:hAnsi="CorpoS"/>
                <w:b/>
                <w:sz w:val="22"/>
                <w:szCs w:val="22"/>
                <w:lang w:val="de-DE"/>
              </w:rPr>
            </w:pPr>
            <w:r w:rsidRPr="000E11FC">
              <w:rPr>
                <w:rFonts w:ascii="CorpoS" w:hAnsi="CorpoS"/>
                <w:b/>
                <w:sz w:val="22"/>
                <w:szCs w:val="22"/>
                <w:lang w:val="de-DE"/>
              </w:rPr>
              <w:t>Q3 20</w:t>
            </w:r>
            <w:r w:rsidR="00A56A31" w:rsidRPr="000E11FC">
              <w:rPr>
                <w:rFonts w:ascii="CorpoS" w:hAnsi="CorpoS"/>
                <w:b/>
                <w:sz w:val="22"/>
                <w:szCs w:val="22"/>
                <w:lang w:val="de-DE"/>
              </w:rPr>
              <w:t>2</w:t>
            </w:r>
            <w:r w:rsidR="00AE411C">
              <w:rPr>
                <w:rFonts w:ascii="CorpoS" w:hAnsi="CorpoS"/>
                <w:b/>
                <w:sz w:val="22"/>
                <w:szCs w:val="22"/>
                <w:lang w:val="de-DE"/>
              </w:rPr>
              <w:t>2</w:t>
            </w:r>
          </w:p>
        </w:tc>
        <w:tc>
          <w:tcPr>
            <w:tcW w:w="1276" w:type="dxa"/>
            <w:tcBorders>
              <w:top w:val="single" w:sz="18" w:space="0" w:color="auto"/>
              <w:left w:val="single" w:sz="18" w:space="0" w:color="auto"/>
            </w:tcBorders>
            <w:shd w:val="clear" w:color="auto" w:fill="auto"/>
          </w:tcPr>
          <w:p w:rsidR="002C2460" w:rsidRPr="000E11FC" w:rsidRDefault="002C2460" w:rsidP="00126044">
            <w:pPr>
              <w:jc w:val="right"/>
              <w:rPr>
                <w:rFonts w:ascii="CorpoS" w:hAnsi="CorpoS"/>
                <w:b/>
                <w:sz w:val="22"/>
                <w:szCs w:val="22"/>
                <w:lang w:val="de-DE"/>
              </w:rPr>
            </w:pPr>
            <w:r w:rsidRPr="000E11FC">
              <w:rPr>
                <w:rFonts w:ascii="CorpoS" w:hAnsi="CorpoS"/>
                <w:b/>
                <w:sz w:val="22"/>
                <w:szCs w:val="22"/>
                <w:lang w:val="de-DE"/>
              </w:rPr>
              <w:t xml:space="preserve">per </w:t>
            </w:r>
            <w:r w:rsidR="00FC24C7" w:rsidRPr="000E11FC">
              <w:rPr>
                <w:rFonts w:ascii="CorpoS" w:hAnsi="CorpoS"/>
                <w:b/>
                <w:sz w:val="22"/>
                <w:szCs w:val="22"/>
                <w:lang w:val="de-DE"/>
              </w:rPr>
              <w:t>Sept. 20</w:t>
            </w:r>
            <w:r w:rsidR="00AE411C">
              <w:rPr>
                <w:rFonts w:ascii="CorpoS" w:hAnsi="CorpoS"/>
                <w:b/>
                <w:sz w:val="22"/>
                <w:szCs w:val="22"/>
                <w:lang w:val="de-DE"/>
              </w:rPr>
              <w:t>21</w:t>
            </w:r>
          </w:p>
          <w:p w:rsidR="002C2460" w:rsidRPr="000E11FC"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0E11FC" w:rsidRDefault="002C2460" w:rsidP="00AE411C">
            <w:pPr>
              <w:jc w:val="right"/>
              <w:rPr>
                <w:rFonts w:ascii="CorpoS" w:hAnsi="CorpoS"/>
                <w:b/>
                <w:sz w:val="22"/>
                <w:szCs w:val="22"/>
                <w:lang w:val="de-DE"/>
              </w:rPr>
            </w:pPr>
            <w:r w:rsidRPr="000E11FC">
              <w:rPr>
                <w:rFonts w:ascii="CorpoS" w:hAnsi="CorpoS"/>
                <w:b/>
                <w:sz w:val="22"/>
                <w:szCs w:val="22"/>
                <w:lang w:val="de-DE"/>
              </w:rPr>
              <w:t>per Sept. 20</w:t>
            </w:r>
            <w:r w:rsidR="00A56A31" w:rsidRPr="000E11FC">
              <w:rPr>
                <w:rFonts w:ascii="CorpoS" w:hAnsi="CorpoS"/>
                <w:b/>
                <w:sz w:val="22"/>
                <w:szCs w:val="22"/>
                <w:lang w:val="de-DE"/>
              </w:rPr>
              <w:t>2</w:t>
            </w:r>
            <w:r w:rsidR="00AE411C">
              <w:rPr>
                <w:rFonts w:ascii="CorpoS" w:hAnsi="CorpoS"/>
                <w:b/>
                <w:sz w:val="22"/>
                <w:szCs w:val="22"/>
                <w:lang w:val="de-DE"/>
              </w:rPr>
              <w:t>2</w:t>
            </w:r>
          </w:p>
        </w:tc>
        <w:tc>
          <w:tcPr>
            <w:tcW w:w="1418" w:type="dxa"/>
            <w:tcBorders>
              <w:top w:val="single" w:sz="18" w:space="0" w:color="auto"/>
              <w:right w:val="single" w:sz="18" w:space="0" w:color="auto"/>
            </w:tcBorders>
            <w:shd w:val="clear" w:color="auto" w:fill="auto"/>
          </w:tcPr>
          <w:p w:rsidR="002C2460" w:rsidRPr="000E11FC" w:rsidRDefault="002C2460" w:rsidP="00126044">
            <w:pPr>
              <w:ind w:right="33"/>
              <w:rPr>
                <w:rFonts w:ascii="CorpoS" w:hAnsi="CorpoS"/>
                <w:b/>
                <w:sz w:val="22"/>
                <w:szCs w:val="22"/>
                <w:lang w:val="de-DE"/>
              </w:rPr>
            </w:pPr>
            <w:r w:rsidRPr="000E11FC">
              <w:rPr>
                <w:rFonts w:ascii="CorpoS" w:hAnsi="CorpoS"/>
                <w:b/>
                <w:sz w:val="22"/>
                <w:szCs w:val="22"/>
                <w:lang w:val="de-DE"/>
              </w:rPr>
              <w:t>Veränderung</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sz w:val="22"/>
                <w:szCs w:val="22"/>
                <w:lang w:val="de-DE"/>
              </w:rPr>
              <w:t>Umsatz</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lang w:val="de-DE" w:eastAsia="zh-CN"/>
              </w:rPr>
            </w:pPr>
            <w:r>
              <w:rPr>
                <w:rFonts w:ascii="CorpoS" w:hAnsi="CorpoS" w:cs="Arial"/>
                <w:sz w:val="22"/>
                <w:szCs w:val="22"/>
              </w:rPr>
              <w:t>1.004</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1.349</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lang w:val="de-DE" w:eastAsia="zh-CN"/>
              </w:rPr>
            </w:pPr>
            <w:r>
              <w:rPr>
                <w:rFonts w:ascii="CorpoS" w:hAnsi="CorpoS" w:cs="Arial"/>
                <w:sz w:val="22"/>
                <w:szCs w:val="22"/>
              </w:rPr>
              <w:t>3.008</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3.818</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+ 27</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373</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445</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1.075</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1.255</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+ 17</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lang w:val="de-DE"/>
              </w:rPr>
              <w:t xml:space="preserve">          davon ziviles </w:t>
            </w:r>
            <w:proofErr w:type="spellStart"/>
            <w:r w:rsidRPr="000E11FC">
              <w:rPr>
                <w:rFonts w:ascii="CorpoS" w:hAnsi="CorpoS"/>
                <w:sz w:val="22"/>
                <w:szCs w:val="22"/>
                <w:lang w:val="de-DE"/>
              </w:rPr>
              <w:t>Triebwerksg</w:t>
            </w:r>
            <w:r w:rsidRPr="000E11FC">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251</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350</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765</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946</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+ 24</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milit</w:t>
            </w:r>
            <w:proofErr w:type="spellEnd"/>
            <w:r w:rsidRPr="000E11FC">
              <w:rPr>
                <w:rFonts w:ascii="CorpoS" w:hAnsi="CorpoS"/>
                <w:sz w:val="22"/>
                <w:szCs w:val="22"/>
              </w:rPr>
              <w:t xml:space="preserve">. </w:t>
            </w:r>
            <w:proofErr w:type="spellStart"/>
            <w:r w:rsidRPr="000E11FC">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123</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95</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310</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309</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- 0</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zivile</w:t>
            </w:r>
            <w:proofErr w:type="spellEnd"/>
            <w:r w:rsidRPr="000E11FC">
              <w:rPr>
                <w:rFonts w:ascii="CorpoS" w:hAnsi="CorpoS"/>
                <w:sz w:val="22"/>
                <w:szCs w:val="22"/>
              </w:rPr>
              <w:t xml:space="preserve"> </w:t>
            </w:r>
            <w:proofErr w:type="spellStart"/>
            <w:r w:rsidRPr="000E11FC">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658</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933</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2.010</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2.644</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+ 32</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EBIT (</w:t>
            </w:r>
            <w:proofErr w:type="spellStart"/>
            <w:r w:rsidRPr="000E11FC">
              <w:rPr>
                <w:rFonts w:ascii="CorpoS" w:hAnsi="CorpoS"/>
                <w:sz w:val="22"/>
                <w:szCs w:val="22"/>
              </w:rPr>
              <w:t>bereinigt</w:t>
            </w:r>
            <w:proofErr w:type="spellEnd"/>
            <w:r w:rsidRPr="000E11FC">
              <w:rPr>
                <w:rFonts w:ascii="CorpoS" w:hAnsi="CorpoS"/>
                <w:sz w:val="22"/>
                <w:szCs w:val="22"/>
              </w:rPr>
              <w:t>)</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117</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158</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307</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448</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+ 46</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OEM-</w:t>
            </w:r>
            <w:proofErr w:type="spellStart"/>
            <w:r w:rsidRPr="000E11FC">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89</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86</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202</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251</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+ 24</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zivile</w:t>
            </w:r>
            <w:proofErr w:type="spellEnd"/>
            <w:r w:rsidRPr="000E11FC">
              <w:rPr>
                <w:rFonts w:ascii="CorpoS" w:hAnsi="CorpoS"/>
                <w:sz w:val="22"/>
                <w:szCs w:val="22"/>
              </w:rPr>
              <w:t xml:space="preserve"> </w:t>
            </w:r>
            <w:proofErr w:type="spellStart"/>
            <w:r w:rsidRPr="000E11FC">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28</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105</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196</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+ 87</w:t>
            </w:r>
            <w:r w:rsidR="00641C70">
              <w:rPr>
                <w:rFonts w:ascii="CorpoS" w:hAnsi="CorpoS" w:cs="Arial"/>
                <w:sz w:val="22"/>
                <w:szCs w:val="22"/>
              </w:rPr>
              <w:t xml:space="preserve"> </w:t>
            </w:r>
            <w:r>
              <w:rPr>
                <w:rFonts w:ascii="CorpoS" w:hAnsi="CorpoS" w:cs="Arial"/>
                <w:sz w:val="22"/>
                <w:szCs w:val="22"/>
              </w:rPr>
              <w:t>%</w:t>
            </w:r>
          </w:p>
        </w:tc>
      </w:tr>
      <w:tr w:rsidR="00AE411C" w:rsidRPr="000E11FC" w:rsidDel="0033104F" w:rsidTr="00126044">
        <w:tc>
          <w:tcPr>
            <w:tcW w:w="3969" w:type="dxa"/>
            <w:tcBorders>
              <w:right w:val="single" w:sz="4" w:space="0" w:color="auto"/>
            </w:tcBorders>
            <w:shd w:val="clear" w:color="auto" w:fill="auto"/>
          </w:tcPr>
          <w:p w:rsidR="00AE411C" w:rsidRPr="000E11FC" w:rsidRDefault="00AE411C" w:rsidP="00AE411C">
            <w:pPr>
              <w:rPr>
                <w:rFonts w:ascii="CorpoS" w:hAnsi="CorpoS"/>
                <w:i/>
                <w:sz w:val="22"/>
                <w:szCs w:val="22"/>
              </w:rPr>
            </w:pPr>
            <w:r w:rsidRPr="000E11FC">
              <w:rPr>
                <w:rFonts w:ascii="CorpoS" w:hAnsi="CorpoS"/>
                <w:i/>
                <w:sz w:val="22"/>
                <w:szCs w:val="22"/>
              </w:rPr>
              <w:t>EBIT-Marge (</w:t>
            </w:r>
            <w:proofErr w:type="spellStart"/>
            <w:r w:rsidRPr="000E11FC">
              <w:rPr>
                <w:rFonts w:ascii="CorpoS" w:hAnsi="CorpoS"/>
                <w:i/>
                <w:sz w:val="22"/>
                <w:szCs w:val="22"/>
              </w:rPr>
              <w:t>bereinigt</w:t>
            </w:r>
            <w:proofErr w:type="spellEnd"/>
            <w:r w:rsidRPr="000E11FC">
              <w:rPr>
                <w:rFonts w:ascii="CorpoS" w:hAnsi="CorpoS"/>
                <w:i/>
                <w:sz w:val="22"/>
                <w:szCs w:val="22"/>
              </w:rPr>
              <w:t>)</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11,7</w:t>
            </w:r>
            <w:r w:rsidR="00641C70">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11,7</w:t>
            </w:r>
            <w:r w:rsidR="00641C70">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10,2</w:t>
            </w:r>
            <w:r w:rsidR="00641C70">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11,7</w:t>
            </w:r>
            <w:r w:rsidR="00641C70">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 </w:t>
            </w:r>
          </w:p>
        </w:tc>
      </w:tr>
      <w:tr w:rsidR="00AE411C" w:rsidRPr="000E11FC" w:rsidDel="0033104F" w:rsidTr="00126044">
        <w:tc>
          <w:tcPr>
            <w:tcW w:w="3969" w:type="dxa"/>
            <w:tcBorders>
              <w:right w:val="single" w:sz="4" w:space="0" w:color="auto"/>
            </w:tcBorders>
            <w:shd w:val="clear" w:color="auto" w:fill="auto"/>
          </w:tcPr>
          <w:p w:rsidR="00AE411C" w:rsidRPr="000E11FC" w:rsidRDefault="00AE411C" w:rsidP="00AE411C">
            <w:pPr>
              <w:tabs>
                <w:tab w:val="left" w:pos="176"/>
              </w:tabs>
              <w:rPr>
                <w:rFonts w:ascii="CorpoS" w:hAnsi="CorpoS"/>
                <w:i/>
                <w:sz w:val="22"/>
                <w:szCs w:val="22"/>
              </w:rPr>
            </w:pPr>
            <w:r w:rsidRPr="000E11FC">
              <w:rPr>
                <w:rFonts w:ascii="CorpoS" w:hAnsi="CorpoS"/>
                <w:i/>
                <w:sz w:val="22"/>
                <w:szCs w:val="22"/>
              </w:rPr>
              <w:t xml:space="preserve">   </w:t>
            </w:r>
            <w:proofErr w:type="spellStart"/>
            <w:r w:rsidRPr="000E11FC">
              <w:rPr>
                <w:rFonts w:ascii="CorpoS" w:hAnsi="CorpoS"/>
                <w:i/>
                <w:sz w:val="22"/>
                <w:szCs w:val="22"/>
              </w:rPr>
              <w:t>im</w:t>
            </w:r>
            <w:proofErr w:type="spellEnd"/>
            <w:r w:rsidRPr="000E11FC">
              <w:rPr>
                <w:rFonts w:ascii="CorpoS" w:hAnsi="CorpoS"/>
                <w:i/>
                <w:sz w:val="22"/>
                <w:szCs w:val="22"/>
              </w:rPr>
              <w:t xml:space="preserve"> OEM-</w:t>
            </w:r>
            <w:proofErr w:type="spellStart"/>
            <w:r w:rsidRPr="000E11FC">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23,9</w:t>
            </w:r>
            <w:r w:rsidR="00641C70">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19,4</w:t>
            </w:r>
            <w:r w:rsidR="00641C70">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18,8</w:t>
            </w:r>
            <w:r w:rsidR="00641C70">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20,0</w:t>
            </w:r>
            <w:r w:rsidR="00641C70">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 </w:t>
            </w:r>
          </w:p>
        </w:tc>
      </w:tr>
      <w:tr w:rsidR="00AE411C" w:rsidRPr="000E11FC" w:rsidDel="0033104F" w:rsidTr="00126044">
        <w:tc>
          <w:tcPr>
            <w:tcW w:w="3969" w:type="dxa"/>
            <w:tcBorders>
              <w:right w:val="single" w:sz="4" w:space="0" w:color="auto"/>
            </w:tcBorders>
            <w:shd w:val="clear" w:color="auto" w:fill="auto"/>
          </w:tcPr>
          <w:p w:rsidR="00AE411C" w:rsidRPr="000E11FC" w:rsidRDefault="00AE411C" w:rsidP="00AE411C">
            <w:pPr>
              <w:rPr>
                <w:rFonts w:ascii="CorpoS" w:hAnsi="CorpoS"/>
                <w:i/>
                <w:sz w:val="22"/>
                <w:szCs w:val="22"/>
              </w:rPr>
            </w:pPr>
            <w:r w:rsidRPr="000E11FC">
              <w:rPr>
                <w:rFonts w:ascii="CorpoS" w:hAnsi="CorpoS"/>
                <w:i/>
                <w:sz w:val="22"/>
                <w:szCs w:val="22"/>
              </w:rPr>
              <w:t xml:space="preserve">   in der </w:t>
            </w:r>
            <w:proofErr w:type="spellStart"/>
            <w:r w:rsidRPr="000E11FC">
              <w:rPr>
                <w:rFonts w:ascii="CorpoS" w:hAnsi="CorpoS"/>
                <w:i/>
                <w:sz w:val="22"/>
                <w:szCs w:val="22"/>
              </w:rPr>
              <w:t>zivilen</w:t>
            </w:r>
            <w:proofErr w:type="spellEnd"/>
            <w:r w:rsidRPr="000E11FC">
              <w:rPr>
                <w:rFonts w:ascii="CorpoS" w:hAnsi="CorpoS"/>
                <w:i/>
                <w:sz w:val="22"/>
                <w:szCs w:val="22"/>
              </w:rPr>
              <w:t xml:space="preserve"> </w:t>
            </w:r>
            <w:proofErr w:type="spellStart"/>
            <w:r w:rsidRPr="000E11FC">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4,2</w:t>
            </w:r>
            <w:r w:rsidR="00641C70">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7,7</w:t>
            </w:r>
            <w:r w:rsidR="00641C70">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5,2</w:t>
            </w:r>
            <w:r w:rsidR="00641C70">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7,4</w:t>
            </w:r>
            <w:r w:rsidR="00641C70">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 </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Net Income (</w:t>
            </w:r>
            <w:proofErr w:type="spellStart"/>
            <w:r w:rsidRPr="000E11FC">
              <w:rPr>
                <w:rFonts w:ascii="CorpoS" w:hAnsi="CorpoS"/>
                <w:sz w:val="22"/>
                <w:szCs w:val="22"/>
              </w:rPr>
              <w:t>bereinigt</w:t>
            </w:r>
            <w:proofErr w:type="spellEnd"/>
            <w:r w:rsidRPr="000E11FC">
              <w:rPr>
                <w:rFonts w:ascii="CorpoS" w:hAnsi="CorpoS"/>
                <w:sz w:val="22"/>
                <w:szCs w:val="22"/>
              </w:rPr>
              <w:t>)</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85</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113</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220</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319</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+ 45</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Net Income (reported)</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87</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92</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190</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212</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+ 12</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sz w:val="22"/>
                <w:szCs w:val="22"/>
                <w:lang w:val="de-DE"/>
              </w:rPr>
              <w:t>Ergebnis je Aktie (</w:t>
            </w:r>
            <w:proofErr w:type="spellStart"/>
            <w:r w:rsidRPr="000E11FC">
              <w:rPr>
                <w:rFonts w:ascii="CorpoS" w:hAnsi="CorpoS"/>
                <w:sz w:val="22"/>
                <w:szCs w:val="22"/>
                <w:lang w:val="de-DE"/>
              </w:rPr>
              <w:t>unverwässert</w:t>
            </w:r>
            <w:proofErr w:type="spellEnd"/>
            <w:r w:rsidRPr="000E11FC">
              <w:rPr>
                <w:rFonts w:ascii="CorpoS" w:hAnsi="CorpoS"/>
                <w:sz w:val="22"/>
                <w:szCs w:val="22"/>
                <w:lang w:val="de-DE"/>
              </w:rPr>
              <w:t xml:space="preserve">, </w:t>
            </w:r>
            <w:proofErr w:type="spellStart"/>
            <w:r w:rsidRPr="000E11FC">
              <w:rPr>
                <w:rFonts w:ascii="CorpoS" w:hAnsi="CorpoS"/>
                <w:sz w:val="22"/>
                <w:szCs w:val="22"/>
                <w:lang w:val="de-DE"/>
              </w:rPr>
              <w:t>reported</w:t>
            </w:r>
            <w:proofErr w:type="spellEnd"/>
            <w:r w:rsidRPr="000E11FC">
              <w:rPr>
                <w:rFonts w:ascii="CorpoS" w:hAnsi="CorpoS"/>
                <w:sz w:val="22"/>
                <w:szCs w:val="22"/>
                <w:lang w:val="de-DE"/>
              </w:rPr>
              <w:t>)</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color w:val="000000"/>
                <w:sz w:val="22"/>
                <w:szCs w:val="22"/>
              </w:rPr>
            </w:pPr>
            <w:r>
              <w:rPr>
                <w:rFonts w:ascii="CorpoS" w:hAnsi="CorpoS" w:cs="Arial"/>
                <w:color w:val="000000"/>
                <w:sz w:val="22"/>
                <w:szCs w:val="22"/>
              </w:rPr>
              <w:t>1,62</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color w:val="000000"/>
                <w:sz w:val="22"/>
                <w:szCs w:val="22"/>
              </w:rPr>
            </w:pPr>
            <w:r>
              <w:rPr>
                <w:rFonts w:ascii="CorpoS" w:hAnsi="CorpoS" w:cs="Arial"/>
                <w:color w:val="000000"/>
                <w:sz w:val="22"/>
                <w:szCs w:val="22"/>
              </w:rPr>
              <w:t>1,74</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color w:val="000000"/>
                <w:sz w:val="22"/>
                <w:szCs w:val="22"/>
              </w:rPr>
            </w:pPr>
            <w:r>
              <w:rPr>
                <w:rFonts w:ascii="CorpoS" w:hAnsi="CorpoS" w:cs="Arial"/>
                <w:color w:val="000000"/>
                <w:sz w:val="22"/>
                <w:szCs w:val="22"/>
              </w:rPr>
              <w:t>3,50</w:t>
            </w:r>
          </w:p>
        </w:tc>
        <w:tc>
          <w:tcPr>
            <w:tcW w:w="1276" w:type="dxa"/>
            <w:shd w:val="clear" w:color="auto" w:fill="auto"/>
            <w:vAlign w:val="center"/>
          </w:tcPr>
          <w:p w:rsidR="00AE411C" w:rsidRDefault="00AE411C" w:rsidP="00AE411C">
            <w:pPr>
              <w:ind w:firstLineChars="100" w:firstLine="220"/>
              <w:jc w:val="right"/>
              <w:rPr>
                <w:rFonts w:ascii="CorpoS" w:hAnsi="CorpoS" w:cs="Arial"/>
                <w:color w:val="000000"/>
                <w:sz w:val="22"/>
                <w:szCs w:val="22"/>
              </w:rPr>
            </w:pPr>
            <w:r>
              <w:rPr>
                <w:rFonts w:ascii="CorpoS" w:hAnsi="CorpoS" w:cs="Arial"/>
                <w:color w:val="000000"/>
                <w:sz w:val="22"/>
                <w:szCs w:val="22"/>
              </w:rPr>
              <w:t>3,97</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color w:val="000000"/>
                <w:sz w:val="22"/>
                <w:szCs w:val="22"/>
              </w:rPr>
            </w:pPr>
            <w:r>
              <w:rPr>
                <w:rFonts w:ascii="CorpoS" w:hAnsi="CorpoS" w:cs="Arial"/>
                <w:color w:val="000000"/>
                <w:sz w:val="22"/>
                <w:szCs w:val="22"/>
              </w:rPr>
              <w:t>+ 13</w:t>
            </w:r>
            <w:r w:rsidR="00641C70">
              <w:rPr>
                <w:rFonts w:ascii="CorpoS" w:hAnsi="CorpoS" w:cs="Arial"/>
                <w:color w:val="000000"/>
                <w:sz w:val="22"/>
                <w:szCs w:val="22"/>
              </w:rPr>
              <w:t xml:space="preserve"> </w:t>
            </w:r>
            <w:r>
              <w:rPr>
                <w:rFonts w:ascii="CorpoS" w:hAnsi="CorpoS" w:cs="Arial"/>
                <w:color w:val="000000"/>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Pr>
                <w:rFonts w:ascii="CorpoS" w:hAnsi="CorpoS"/>
                <w:sz w:val="22"/>
                <w:szCs w:val="22"/>
              </w:rPr>
              <w:t>EBITDA (reported)</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189</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220</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491</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610</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+ 24</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rPr>
              <w:t xml:space="preserve">Free </w:t>
            </w:r>
            <w:proofErr w:type="spellStart"/>
            <w:r w:rsidRPr="000E11FC">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18</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52</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205</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219</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+ 7</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60</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56</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162</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192</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+ 18</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46</w:t>
            </w:r>
          </w:p>
        </w:tc>
        <w:tc>
          <w:tcPr>
            <w:tcW w:w="1276" w:type="dxa"/>
            <w:tcBorders>
              <w:lef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116</w:t>
            </w:r>
          </w:p>
        </w:tc>
        <w:tc>
          <w:tcPr>
            <w:tcW w:w="1276" w:type="dxa"/>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147</w:t>
            </w:r>
          </w:p>
        </w:tc>
        <w:tc>
          <w:tcPr>
            <w:tcW w:w="1418" w:type="dxa"/>
            <w:tcBorders>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+ 26</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bottom w:val="single" w:sz="4" w:space="0" w:color="auto"/>
              <w:right w:val="single" w:sz="4" w:space="0" w:color="auto"/>
            </w:tcBorders>
            <w:shd w:val="clear" w:color="auto" w:fill="auto"/>
          </w:tcPr>
          <w:p w:rsidR="00AE411C" w:rsidRPr="000E11FC" w:rsidRDefault="00AE411C" w:rsidP="00AE411C">
            <w:pPr>
              <w:rPr>
                <w:rFonts w:ascii="CorpoS" w:hAnsi="CorpoS"/>
                <w:sz w:val="22"/>
                <w:szCs w:val="22"/>
              </w:rPr>
            </w:pPr>
            <w:r w:rsidRPr="000E11FC">
              <w:rPr>
                <w:rFonts w:ascii="CorpoS" w:hAnsi="CorpoS"/>
                <w:sz w:val="22"/>
                <w:szCs w:val="22"/>
                <w:lang w:val="de-DE"/>
              </w:rPr>
              <w:t xml:space="preserve">   davon f</w:t>
            </w:r>
            <w:proofErr w:type="spellStart"/>
            <w:r w:rsidRPr="000E11FC">
              <w:rPr>
                <w:rFonts w:ascii="CorpoS" w:hAnsi="CorpoS"/>
                <w:sz w:val="22"/>
                <w:szCs w:val="22"/>
              </w:rPr>
              <w:t>remdfinanzierte</w:t>
            </w:r>
            <w:proofErr w:type="spellEnd"/>
            <w:r w:rsidRPr="000E11FC">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19</w:t>
            </w:r>
          </w:p>
        </w:tc>
        <w:tc>
          <w:tcPr>
            <w:tcW w:w="1134" w:type="dxa"/>
            <w:tcBorders>
              <w:left w:val="single" w:sz="4" w:space="0" w:color="auto"/>
              <w:bottom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10</w:t>
            </w:r>
          </w:p>
        </w:tc>
        <w:tc>
          <w:tcPr>
            <w:tcW w:w="1276" w:type="dxa"/>
            <w:tcBorders>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46</w:t>
            </w:r>
          </w:p>
        </w:tc>
        <w:tc>
          <w:tcPr>
            <w:tcW w:w="1276" w:type="dxa"/>
            <w:tcBorders>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44</w:t>
            </w:r>
          </w:p>
        </w:tc>
        <w:tc>
          <w:tcPr>
            <w:tcW w:w="1418" w:type="dxa"/>
            <w:tcBorders>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- 3</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lang w:val="de-DE"/>
              </w:rPr>
            </w:pPr>
            <w:r w:rsidRPr="000E11FC">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22</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28</w:t>
            </w:r>
          </w:p>
        </w:tc>
        <w:tc>
          <w:tcPr>
            <w:tcW w:w="1276" w:type="dxa"/>
            <w:tcBorders>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60</w:t>
            </w:r>
          </w:p>
        </w:tc>
        <w:tc>
          <w:tcPr>
            <w:tcW w:w="1276" w:type="dxa"/>
            <w:tcBorders>
              <w:bottom w:val="single" w:sz="4"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75</w:t>
            </w:r>
          </w:p>
        </w:tc>
        <w:tc>
          <w:tcPr>
            <w:tcW w:w="1418" w:type="dxa"/>
            <w:tcBorders>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i/>
                <w:iCs/>
                <w:sz w:val="22"/>
                <w:szCs w:val="22"/>
              </w:rPr>
            </w:pPr>
            <w:r>
              <w:rPr>
                <w:rFonts w:ascii="CorpoS" w:hAnsi="CorpoS" w:cs="Arial"/>
                <w:i/>
                <w:iCs/>
                <w:sz w:val="22"/>
                <w:szCs w:val="22"/>
              </w:rPr>
              <w:t>+ 26</w:t>
            </w:r>
            <w:r w:rsidR="00641C70">
              <w:rPr>
                <w:rFonts w:ascii="CorpoS" w:hAnsi="CorpoS" w:cs="Arial"/>
                <w:i/>
                <w:iCs/>
                <w:sz w:val="22"/>
                <w:szCs w:val="22"/>
              </w:rPr>
              <w:t xml:space="preserve"> </w:t>
            </w:r>
            <w:r>
              <w:rPr>
                <w:rFonts w:ascii="CorpoS" w:hAnsi="CorpoS" w:cs="Arial"/>
                <w:i/>
                <w:iCs/>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sz w:val="22"/>
                <w:szCs w:val="22"/>
              </w:rPr>
            </w:pPr>
            <w:proofErr w:type="spellStart"/>
            <w:r w:rsidRPr="000E11FC">
              <w:rPr>
                <w:rFonts w:ascii="CorpoS" w:hAnsi="CorpoS"/>
                <w:sz w:val="22"/>
                <w:szCs w:val="22"/>
              </w:rPr>
              <w:t>Netto-Auszahlungen</w:t>
            </w:r>
            <w:proofErr w:type="spellEnd"/>
            <w:r w:rsidRPr="000E11FC">
              <w:rPr>
                <w:rFonts w:ascii="CorpoS" w:hAnsi="CorpoS"/>
                <w:sz w:val="22"/>
                <w:szCs w:val="22"/>
              </w:rPr>
              <w:t xml:space="preserve"> in </w:t>
            </w:r>
            <w:proofErr w:type="spellStart"/>
            <w:r w:rsidRPr="000E11FC">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78</w:t>
            </w:r>
          </w:p>
        </w:tc>
        <w:tc>
          <w:tcPr>
            <w:tcW w:w="1276" w:type="dxa"/>
            <w:tcBorders>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117</w:t>
            </w:r>
          </w:p>
        </w:tc>
        <w:tc>
          <w:tcPr>
            <w:tcW w:w="1276" w:type="dxa"/>
            <w:tcBorders>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170</w:t>
            </w:r>
          </w:p>
        </w:tc>
        <w:tc>
          <w:tcPr>
            <w:tcW w:w="1418" w:type="dxa"/>
            <w:tcBorders>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+ 45</w:t>
            </w:r>
            <w:r w:rsidR="00641C70">
              <w:rPr>
                <w:rFonts w:ascii="CorpoS" w:hAnsi="CorpoS" w:cs="Arial"/>
                <w:sz w:val="22"/>
                <w:szCs w:val="22"/>
              </w:rPr>
              <w:t xml:space="preserve"> </w:t>
            </w:r>
            <w:r>
              <w:rPr>
                <w:rFonts w:ascii="CorpoS" w:hAnsi="CorpoS" w:cs="Arial"/>
                <w:sz w:val="22"/>
                <w:szCs w:val="22"/>
              </w:rPr>
              <w:t>%</w:t>
            </w:r>
          </w:p>
        </w:tc>
      </w:tr>
      <w:tr w:rsidR="000E11FC" w:rsidRPr="000E11FC" w:rsidTr="00126044">
        <w:trPr>
          <w:trHeight w:val="81"/>
        </w:trPr>
        <w:tc>
          <w:tcPr>
            <w:tcW w:w="6237" w:type="dxa"/>
            <w:gridSpan w:val="3"/>
            <w:tcBorders>
              <w:right w:val="single" w:sz="18" w:space="0" w:color="auto"/>
            </w:tcBorders>
            <w:shd w:val="clear" w:color="auto" w:fill="auto"/>
          </w:tcPr>
          <w:p w:rsidR="002C2460" w:rsidRPr="000E11FC"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0E11FC" w:rsidRDefault="002C2460" w:rsidP="00126044">
            <w:pPr>
              <w:ind w:right="33"/>
              <w:jc w:val="right"/>
              <w:rPr>
                <w:rFonts w:ascii="CorpoS" w:hAnsi="CorpoS"/>
                <w:b/>
                <w:sz w:val="8"/>
                <w:szCs w:val="8"/>
              </w:rPr>
            </w:pPr>
          </w:p>
        </w:tc>
      </w:tr>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0E11FC" w:rsidRDefault="002C2460" w:rsidP="00AE411C">
            <w:pPr>
              <w:jc w:val="right"/>
              <w:rPr>
                <w:rFonts w:ascii="CorpoS" w:hAnsi="CorpoS"/>
                <w:b/>
                <w:sz w:val="22"/>
                <w:szCs w:val="22"/>
              </w:rPr>
            </w:pPr>
            <w:r w:rsidRPr="000E11FC">
              <w:rPr>
                <w:rFonts w:ascii="CorpoS" w:hAnsi="CorpoS"/>
                <w:b/>
                <w:sz w:val="22"/>
                <w:szCs w:val="22"/>
              </w:rPr>
              <w:t xml:space="preserve">31. </w:t>
            </w:r>
            <w:proofErr w:type="spellStart"/>
            <w:r w:rsidRPr="000E11FC">
              <w:rPr>
                <w:rFonts w:ascii="CorpoS" w:hAnsi="CorpoS"/>
                <w:b/>
                <w:sz w:val="22"/>
                <w:szCs w:val="22"/>
              </w:rPr>
              <w:t>Dez</w:t>
            </w:r>
            <w:proofErr w:type="spellEnd"/>
            <w:r w:rsidRPr="000E11FC">
              <w:rPr>
                <w:rFonts w:ascii="CorpoS" w:hAnsi="CorpoS"/>
                <w:b/>
                <w:sz w:val="22"/>
                <w:szCs w:val="22"/>
              </w:rPr>
              <w:t>. 20</w:t>
            </w:r>
            <w:r w:rsidR="0030178E" w:rsidRPr="000E11FC">
              <w:rPr>
                <w:rFonts w:ascii="CorpoS" w:hAnsi="CorpoS"/>
                <w:b/>
                <w:sz w:val="22"/>
                <w:szCs w:val="22"/>
              </w:rPr>
              <w:t>2</w:t>
            </w:r>
            <w:r w:rsidR="00AE411C">
              <w:rPr>
                <w:rFonts w:ascii="CorpoS" w:hAnsi="CorpoS"/>
                <w:b/>
                <w:sz w:val="22"/>
                <w:szCs w:val="22"/>
              </w:rPr>
              <w:t>1</w:t>
            </w:r>
          </w:p>
        </w:tc>
        <w:tc>
          <w:tcPr>
            <w:tcW w:w="1276" w:type="dxa"/>
            <w:tcBorders>
              <w:bottom w:val="single" w:sz="4" w:space="0" w:color="auto"/>
            </w:tcBorders>
            <w:shd w:val="clear" w:color="auto" w:fill="auto"/>
          </w:tcPr>
          <w:p w:rsidR="002C2460" w:rsidRPr="000E11FC" w:rsidRDefault="002C2460" w:rsidP="00AE411C">
            <w:pPr>
              <w:jc w:val="right"/>
              <w:rPr>
                <w:rFonts w:ascii="CorpoS" w:hAnsi="CorpoS"/>
                <w:b/>
                <w:sz w:val="22"/>
                <w:szCs w:val="22"/>
                <w:lang w:val="de-DE"/>
              </w:rPr>
            </w:pPr>
            <w:r w:rsidRPr="000E11FC">
              <w:rPr>
                <w:rFonts w:ascii="CorpoS" w:hAnsi="CorpoS"/>
                <w:b/>
                <w:sz w:val="22"/>
                <w:szCs w:val="22"/>
                <w:lang w:val="de-DE"/>
              </w:rPr>
              <w:t>30. Sept. 20</w:t>
            </w:r>
            <w:r w:rsidR="00D0121F" w:rsidRPr="000E11FC">
              <w:rPr>
                <w:rFonts w:ascii="CorpoS" w:hAnsi="CorpoS"/>
                <w:b/>
                <w:sz w:val="22"/>
                <w:szCs w:val="22"/>
                <w:lang w:val="de-DE"/>
              </w:rPr>
              <w:t>2</w:t>
            </w:r>
            <w:r w:rsidR="00AE411C">
              <w:rPr>
                <w:rFonts w:ascii="CorpoS" w:hAnsi="CorpoS"/>
                <w:b/>
                <w:sz w:val="22"/>
                <w:szCs w:val="22"/>
                <w:lang w:val="de-DE"/>
              </w:rPr>
              <w:t>2</w:t>
            </w:r>
          </w:p>
        </w:tc>
        <w:tc>
          <w:tcPr>
            <w:tcW w:w="1418" w:type="dxa"/>
            <w:tcBorders>
              <w:bottom w:val="single" w:sz="4" w:space="0" w:color="auto"/>
              <w:right w:val="single" w:sz="18" w:space="0" w:color="auto"/>
            </w:tcBorders>
            <w:shd w:val="clear" w:color="auto" w:fill="auto"/>
          </w:tcPr>
          <w:p w:rsidR="002C2460" w:rsidRPr="000E11FC" w:rsidRDefault="002C2460" w:rsidP="00126044">
            <w:pPr>
              <w:ind w:right="33"/>
              <w:rPr>
                <w:rFonts w:ascii="CorpoS" w:hAnsi="CorpoS"/>
                <w:b/>
                <w:sz w:val="22"/>
                <w:szCs w:val="22"/>
                <w:lang w:val="de-DE"/>
              </w:rPr>
            </w:pPr>
            <w:proofErr w:type="spellStart"/>
            <w:r w:rsidRPr="000E11FC">
              <w:rPr>
                <w:rFonts w:ascii="CorpoS" w:hAnsi="CorpoS"/>
                <w:b/>
                <w:sz w:val="22"/>
                <w:szCs w:val="22"/>
                <w:lang w:val="de-DE"/>
              </w:rPr>
              <w:t>Verände-rung</w:t>
            </w:r>
            <w:proofErr w:type="spellEnd"/>
          </w:p>
        </w:tc>
      </w:tr>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b/>
                <w:sz w:val="22"/>
                <w:szCs w:val="22"/>
                <w:lang w:val="de-DE"/>
              </w:rPr>
            </w:pPr>
            <w:r w:rsidRPr="000E11FC">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0E11FC"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2C2460" w:rsidRPr="000E11FC"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0E11FC" w:rsidRDefault="002C2460" w:rsidP="00126044">
            <w:pPr>
              <w:ind w:right="33"/>
              <w:jc w:val="right"/>
              <w:rPr>
                <w:rFonts w:ascii="CorpoS" w:hAnsi="CorpoS"/>
                <w:sz w:val="22"/>
                <w:szCs w:val="22"/>
                <w:lang w:val="de-DE"/>
              </w:rPr>
            </w:pP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firstLine="176"/>
              <w:rPr>
                <w:rFonts w:ascii="CorpoS" w:hAnsi="CorpoS"/>
                <w:sz w:val="22"/>
                <w:szCs w:val="22"/>
                <w:lang w:val="de-DE"/>
              </w:rPr>
            </w:pPr>
            <w:r w:rsidRPr="000E11FC">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lang w:val="de-DE" w:eastAsia="zh-CN"/>
              </w:rPr>
            </w:pPr>
            <w:r>
              <w:rPr>
                <w:rFonts w:ascii="CorpoS" w:hAnsi="CorpoS" w:cs="Arial"/>
                <w:sz w:val="22"/>
                <w:szCs w:val="22"/>
              </w:rPr>
              <w:t>1.128</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1.136</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left="176"/>
              <w:rPr>
                <w:rFonts w:ascii="CorpoS" w:hAnsi="CorpoS"/>
                <w:sz w:val="22"/>
                <w:szCs w:val="22"/>
                <w:lang w:val="de-DE"/>
              </w:rPr>
            </w:pPr>
            <w:r w:rsidRPr="000E11FC">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722</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775</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+ 7</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left="176"/>
              <w:rPr>
                <w:rFonts w:ascii="CorpoS" w:hAnsi="CorpoS"/>
                <w:sz w:val="22"/>
                <w:szCs w:val="22"/>
                <w:lang w:val="de-DE"/>
              </w:rPr>
            </w:pPr>
            <w:r w:rsidRPr="000E11FC">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948</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746</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- 21</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left="176"/>
              <w:rPr>
                <w:rFonts w:ascii="CorpoS" w:hAnsi="CorpoS"/>
                <w:sz w:val="22"/>
                <w:szCs w:val="22"/>
                <w:lang w:val="de-DE"/>
              </w:rPr>
            </w:pPr>
            <w:r w:rsidRPr="000E11FC">
              <w:rPr>
                <w:rFonts w:ascii="CorpoS" w:hAnsi="CorpoS"/>
                <w:sz w:val="22"/>
                <w:szCs w:val="22"/>
                <w:lang w:val="de-DE"/>
              </w:rPr>
              <w:t>Eigenkapital</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2.760</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2.871</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+ 4</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left="176"/>
              <w:rPr>
                <w:rFonts w:ascii="CorpoS" w:hAnsi="CorpoS"/>
                <w:sz w:val="22"/>
                <w:szCs w:val="22"/>
                <w:lang w:val="de-DE"/>
              </w:rPr>
            </w:pPr>
            <w:r w:rsidRPr="000E11FC">
              <w:rPr>
                <w:rFonts w:ascii="CorpoS" w:hAnsi="CorpoS"/>
                <w:sz w:val="22"/>
                <w:szCs w:val="22"/>
                <w:lang w:val="de-DE"/>
              </w:rPr>
              <w:t>Netto-Finanzverschuldung</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673</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604</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- 10</w:t>
            </w:r>
            <w:r w:rsidR="00641C70">
              <w:rPr>
                <w:rFonts w:ascii="CorpoS" w:hAnsi="CorpoS" w:cs="Arial"/>
                <w:sz w:val="22"/>
                <w:szCs w:val="22"/>
              </w:rPr>
              <w:t xml:space="preserve"> </w:t>
            </w:r>
            <w:r>
              <w:rPr>
                <w:rFonts w:ascii="CorpoS" w:hAnsi="CorpoS" w:cs="Arial"/>
                <w:sz w:val="22"/>
                <w:szCs w:val="22"/>
              </w:rPr>
              <w:t>%</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ind w:left="176"/>
              <w:rPr>
                <w:rFonts w:ascii="CorpoS" w:hAnsi="CorpoS"/>
                <w:sz w:val="22"/>
                <w:szCs w:val="22"/>
                <w:lang w:val="de-DE"/>
              </w:rPr>
            </w:pPr>
            <w:r w:rsidRPr="000E11FC">
              <w:rPr>
                <w:rFonts w:ascii="CorpoS" w:hAnsi="CorpoS"/>
                <w:sz w:val="22"/>
                <w:szCs w:val="22"/>
                <w:lang w:val="de-DE"/>
              </w:rPr>
              <w:t>Bilanzsumme</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8.304</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9.064</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+ 9</w:t>
            </w:r>
            <w:r w:rsidR="00641C70">
              <w:rPr>
                <w:rFonts w:ascii="CorpoS" w:hAnsi="CorpoS" w:cs="Arial"/>
                <w:sz w:val="22"/>
                <w:szCs w:val="22"/>
              </w:rPr>
              <w:t xml:space="preserve"> </w:t>
            </w:r>
            <w:r>
              <w:rPr>
                <w:rFonts w:ascii="CorpoS" w:hAnsi="CorpoS" w:cs="Arial"/>
                <w:sz w:val="22"/>
                <w:szCs w:val="22"/>
              </w:rPr>
              <w:t>%</w:t>
            </w:r>
          </w:p>
        </w:tc>
      </w:tr>
      <w:tr w:rsidR="000E11FC" w:rsidRPr="000E11FC" w:rsidTr="00126044">
        <w:trPr>
          <w:trHeight w:val="50"/>
        </w:trPr>
        <w:tc>
          <w:tcPr>
            <w:tcW w:w="3969" w:type="dxa"/>
            <w:tcBorders>
              <w:right w:val="single" w:sz="4" w:space="0" w:color="auto"/>
            </w:tcBorders>
            <w:shd w:val="clear" w:color="auto" w:fill="auto"/>
          </w:tcPr>
          <w:p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0E11FC" w:rsidRDefault="00105968" w:rsidP="00126044">
            <w:pPr>
              <w:ind w:firstLineChars="100" w:firstLine="80"/>
              <w:jc w:val="right"/>
              <w:rPr>
                <w:rFonts w:ascii="CorpoS" w:hAnsi="CorpoS" w:cs="Arial"/>
                <w:sz w:val="8"/>
                <w:szCs w:val="8"/>
              </w:rPr>
            </w:pPr>
            <w:r w:rsidRPr="000E11FC">
              <w:rPr>
                <w:rFonts w:ascii="CorpoS" w:hAnsi="CorpoS" w:cs="Arial"/>
                <w:sz w:val="8"/>
                <w:szCs w:val="8"/>
              </w:rPr>
              <w:t xml:space="preserve"> </w:t>
            </w:r>
            <w:r w:rsidR="002C2460" w:rsidRPr="000E11FC">
              <w:rPr>
                <w:rFonts w:ascii="CorpoS" w:hAnsi="CorpoS" w:cs="Arial"/>
                <w:sz w:val="8"/>
                <w:szCs w:val="8"/>
              </w:rPr>
              <w:t xml:space="preserve"> </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b/>
                <w:sz w:val="22"/>
                <w:szCs w:val="22"/>
                <w:lang w:val="de-DE"/>
              </w:rPr>
            </w:pPr>
            <w:r w:rsidRPr="000E11FC">
              <w:rPr>
                <w:rFonts w:ascii="CorpoS" w:hAnsi="CorpoS"/>
                <w:b/>
                <w:sz w:val="22"/>
                <w:szCs w:val="22"/>
                <w:lang w:val="de-DE"/>
              </w:rPr>
              <w:t>Auftragsbestand</w:t>
            </w:r>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lang w:val="de-DE" w:eastAsia="zh-CN"/>
              </w:rPr>
            </w:pPr>
            <w:r>
              <w:rPr>
                <w:rFonts w:ascii="CorpoS" w:hAnsi="CorpoS" w:cs="Arial"/>
                <w:sz w:val="22"/>
                <w:szCs w:val="22"/>
              </w:rPr>
              <w:t>22.237</w:t>
            </w:r>
          </w:p>
        </w:tc>
        <w:tc>
          <w:tcPr>
            <w:tcW w:w="1276" w:type="dxa"/>
            <w:tcBorders>
              <w:top w:val="single" w:sz="4" w:space="0" w:color="auto"/>
              <w:bottom w:val="single" w:sz="4"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25.958</w:t>
            </w:r>
          </w:p>
        </w:tc>
        <w:tc>
          <w:tcPr>
            <w:tcW w:w="1418" w:type="dxa"/>
            <w:tcBorders>
              <w:top w:val="single" w:sz="4" w:space="0" w:color="auto"/>
              <w:bottom w:val="single" w:sz="4"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+ 17</w:t>
            </w:r>
            <w:r w:rsidR="00641C70">
              <w:rPr>
                <w:rFonts w:ascii="CorpoS" w:hAnsi="CorpoS" w:cs="Arial"/>
                <w:sz w:val="22"/>
                <w:szCs w:val="22"/>
              </w:rPr>
              <w:t xml:space="preserve"> </w:t>
            </w:r>
            <w:r>
              <w:rPr>
                <w:rFonts w:ascii="CorpoS" w:hAnsi="CorpoS" w:cs="Arial"/>
                <w:sz w:val="22"/>
                <w:szCs w:val="22"/>
              </w:rPr>
              <w:t>%</w:t>
            </w:r>
          </w:p>
        </w:tc>
      </w:tr>
      <w:tr w:rsidR="000E11FC" w:rsidRPr="000E11FC" w:rsidTr="00126044">
        <w:trPr>
          <w:cantSplit/>
          <w:trHeight w:val="20"/>
        </w:trPr>
        <w:tc>
          <w:tcPr>
            <w:tcW w:w="3969" w:type="dxa"/>
            <w:tcBorders>
              <w:right w:val="single" w:sz="4" w:space="0" w:color="auto"/>
            </w:tcBorders>
            <w:shd w:val="clear" w:color="auto" w:fill="auto"/>
          </w:tcPr>
          <w:p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r w:rsidRPr="000E11FC">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r w:rsidRPr="000E11FC">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0E11FC" w:rsidRDefault="00641C70" w:rsidP="00126044">
            <w:pPr>
              <w:ind w:firstLineChars="100" w:firstLine="80"/>
              <w:jc w:val="right"/>
              <w:rPr>
                <w:rFonts w:ascii="CorpoS" w:hAnsi="CorpoS" w:cs="Arial"/>
                <w:sz w:val="8"/>
                <w:szCs w:val="8"/>
              </w:rPr>
            </w:pPr>
            <w:r>
              <w:rPr>
                <w:rFonts w:ascii="CorpoS" w:hAnsi="CorpoS" w:cs="Arial"/>
                <w:sz w:val="8"/>
                <w:szCs w:val="8"/>
              </w:rPr>
              <w:t xml:space="preserve"> </w:t>
            </w:r>
            <w:r w:rsidR="002C2460" w:rsidRPr="000E11FC">
              <w:rPr>
                <w:rFonts w:ascii="CorpoS" w:hAnsi="CorpoS" w:cs="Arial"/>
                <w:sz w:val="8"/>
                <w:szCs w:val="8"/>
              </w:rPr>
              <w:t xml:space="preserve">  </w:t>
            </w:r>
          </w:p>
        </w:tc>
      </w:tr>
      <w:tr w:rsidR="00AE411C" w:rsidRPr="000E11FC" w:rsidTr="00126044">
        <w:tc>
          <w:tcPr>
            <w:tcW w:w="3969" w:type="dxa"/>
            <w:tcBorders>
              <w:right w:val="single" w:sz="4" w:space="0" w:color="auto"/>
            </w:tcBorders>
            <w:shd w:val="clear" w:color="auto" w:fill="auto"/>
          </w:tcPr>
          <w:p w:rsidR="00AE411C" w:rsidRPr="000E11FC" w:rsidRDefault="00AE411C" w:rsidP="00AE411C">
            <w:pPr>
              <w:rPr>
                <w:rFonts w:ascii="CorpoS" w:hAnsi="CorpoS"/>
                <w:b/>
                <w:sz w:val="22"/>
                <w:szCs w:val="22"/>
                <w:lang w:val="de-DE"/>
              </w:rPr>
            </w:pPr>
            <w:proofErr w:type="spellStart"/>
            <w:r w:rsidRPr="000E11FC">
              <w:rPr>
                <w:rFonts w:ascii="CorpoS" w:hAnsi="CorpoS"/>
                <w:b/>
                <w:sz w:val="22"/>
                <w:szCs w:val="22"/>
                <w:lang w:val="de-DE"/>
              </w:rPr>
              <w:t>Mitarbeiter</w:t>
            </w:r>
            <w:r>
              <w:rPr>
                <w:rFonts w:ascii="CorpoS" w:hAnsi="CorpoS"/>
                <w:b/>
                <w:sz w:val="22"/>
                <w:szCs w:val="22"/>
                <w:lang w:val="de-DE"/>
              </w:rPr>
              <w:t>:innen</w:t>
            </w:r>
            <w:proofErr w:type="spellEnd"/>
          </w:p>
        </w:tc>
        <w:tc>
          <w:tcPr>
            <w:tcW w:w="1134" w:type="dxa"/>
            <w:tcBorders>
              <w:left w:val="single" w:sz="4" w:space="0" w:color="auto"/>
              <w:right w:val="single" w:sz="4" w:space="0" w:color="auto"/>
            </w:tcBorders>
          </w:tcPr>
          <w:p w:rsidR="00AE411C" w:rsidRPr="000E11FC" w:rsidRDefault="00AE411C" w:rsidP="00AE411C">
            <w:pPr>
              <w:jc w:val="right"/>
              <w:rPr>
                <w:rFonts w:ascii="CorpoS" w:hAnsi="CorpoS"/>
                <w:sz w:val="22"/>
                <w:szCs w:val="22"/>
                <w:lang w:val="de-DE"/>
              </w:rPr>
            </w:pPr>
          </w:p>
        </w:tc>
        <w:tc>
          <w:tcPr>
            <w:tcW w:w="1134" w:type="dxa"/>
            <w:tcBorders>
              <w:left w:val="single" w:sz="4" w:space="0" w:color="auto"/>
              <w:right w:val="single" w:sz="18" w:space="0" w:color="auto"/>
            </w:tcBorders>
          </w:tcPr>
          <w:p w:rsidR="00AE411C" w:rsidRPr="000E11FC" w:rsidRDefault="00AE411C" w:rsidP="00AE411C">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lang w:val="de-DE" w:eastAsia="zh-CN"/>
              </w:rPr>
            </w:pPr>
            <w:r>
              <w:rPr>
                <w:rFonts w:ascii="CorpoS" w:hAnsi="CorpoS" w:cs="Arial"/>
                <w:sz w:val="22"/>
                <w:szCs w:val="22"/>
              </w:rPr>
              <w:t>10.508</w:t>
            </w:r>
          </w:p>
        </w:tc>
        <w:tc>
          <w:tcPr>
            <w:tcW w:w="1276" w:type="dxa"/>
            <w:tcBorders>
              <w:top w:val="single" w:sz="4" w:space="0" w:color="auto"/>
              <w:bottom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11.008</w:t>
            </w:r>
          </w:p>
        </w:tc>
        <w:tc>
          <w:tcPr>
            <w:tcW w:w="1418" w:type="dxa"/>
            <w:tcBorders>
              <w:top w:val="single" w:sz="4" w:space="0" w:color="auto"/>
              <w:bottom w:val="single" w:sz="18" w:space="0" w:color="auto"/>
              <w:right w:val="single" w:sz="18" w:space="0" w:color="auto"/>
            </w:tcBorders>
            <w:shd w:val="clear" w:color="auto" w:fill="auto"/>
            <w:vAlign w:val="center"/>
          </w:tcPr>
          <w:p w:rsidR="00AE411C" w:rsidRDefault="00AE411C" w:rsidP="00AE411C">
            <w:pPr>
              <w:ind w:firstLineChars="100" w:firstLine="220"/>
              <w:jc w:val="right"/>
              <w:rPr>
                <w:rFonts w:ascii="CorpoS" w:hAnsi="CorpoS" w:cs="Arial"/>
                <w:sz w:val="22"/>
                <w:szCs w:val="22"/>
              </w:rPr>
            </w:pPr>
            <w:r>
              <w:rPr>
                <w:rFonts w:ascii="CorpoS" w:hAnsi="CorpoS" w:cs="Arial"/>
                <w:sz w:val="22"/>
                <w:szCs w:val="22"/>
              </w:rPr>
              <w:t>+ 5</w:t>
            </w:r>
            <w:r w:rsidR="00641C70">
              <w:rPr>
                <w:rFonts w:ascii="CorpoS" w:hAnsi="CorpoS" w:cs="Arial"/>
                <w:sz w:val="22"/>
                <w:szCs w:val="22"/>
              </w:rPr>
              <w:t xml:space="preserve"> </w:t>
            </w:r>
            <w:r>
              <w:rPr>
                <w:rFonts w:ascii="CorpoS" w:hAnsi="CorpoS" w:cs="Arial"/>
                <w:sz w:val="22"/>
                <w:szCs w:val="22"/>
              </w:rPr>
              <w:t>%</w:t>
            </w:r>
          </w:p>
        </w:tc>
      </w:tr>
    </w:tbl>
    <w:p w:rsidR="00E957DB" w:rsidRDefault="00E957DB" w:rsidP="0030178E">
      <w:pPr>
        <w:ind w:right="1984"/>
        <w:jc w:val="both"/>
        <w:rPr>
          <w:rFonts w:ascii="CorpoS" w:hAnsi="CorpoS"/>
          <w:b/>
          <w:sz w:val="20"/>
          <w:u w:val="single"/>
          <w:lang w:val="de-DE"/>
        </w:rPr>
      </w:pPr>
    </w:p>
    <w:p w:rsidR="00E957DB" w:rsidRDefault="00E957DB" w:rsidP="0030178E">
      <w:pPr>
        <w:ind w:right="1984"/>
        <w:jc w:val="both"/>
        <w:rPr>
          <w:rFonts w:ascii="CorpoS" w:hAnsi="CorpoS"/>
          <w:b/>
          <w:sz w:val="20"/>
          <w:u w:val="single"/>
          <w:lang w:val="de-DE"/>
        </w:rPr>
      </w:pPr>
    </w:p>
    <w:p w:rsidR="00E957DB" w:rsidRDefault="00E957DB" w:rsidP="00E957DB">
      <w:pPr>
        <w:ind w:right="1984"/>
        <w:jc w:val="both"/>
        <w:rPr>
          <w:rFonts w:ascii="CorpoS" w:hAnsi="CorpoS"/>
          <w:b/>
          <w:sz w:val="22"/>
          <w:szCs w:val="22"/>
          <w:lang w:val="de-DE"/>
        </w:rPr>
      </w:pPr>
      <w:r w:rsidRPr="006D238D">
        <w:rPr>
          <w:rFonts w:ascii="CorpoS" w:hAnsi="CorpoS"/>
          <w:b/>
          <w:sz w:val="22"/>
          <w:szCs w:val="22"/>
          <w:lang w:val="de-DE"/>
        </w:rPr>
        <w:t>Ausblick 202</w:t>
      </w:r>
      <w:r w:rsidR="005A5BBE">
        <w:rPr>
          <w:rFonts w:ascii="CorpoS" w:hAnsi="CorpoS"/>
          <w:b/>
          <w:sz w:val="22"/>
          <w:szCs w:val="22"/>
          <w:lang w:val="de-DE"/>
        </w:rPr>
        <w:t>2</w:t>
      </w:r>
    </w:p>
    <w:p w:rsidR="00E957DB" w:rsidRDefault="00E957DB" w:rsidP="00E957DB">
      <w:pPr>
        <w:ind w:right="1984"/>
        <w:jc w:val="both"/>
        <w:rPr>
          <w:rFonts w:ascii="CorpoS" w:hAnsi="CorpoS"/>
          <w:b/>
          <w:sz w:val="22"/>
          <w:szCs w:val="22"/>
          <w:lang w:val="de-DE"/>
        </w:rPr>
      </w:pPr>
    </w:p>
    <w:tbl>
      <w:tblPr>
        <w:tblStyle w:val="Tabellenraster"/>
        <w:tblW w:w="9345" w:type="dxa"/>
        <w:tblLook w:val="04A0" w:firstRow="1" w:lastRow="0" w:firstColumn="1" w:lastColumn="0" w:noHBand="0" w:noVBand="1"/>
      </w:tblPr>
      <w:tblGrid>
        <w:gridCol w:w="3539"/>
        <w:gridCol w:w="2835"/>
        <w:gridCol w:w="2971"/>
      </w:tblGrid>
      <w:tr w:rsidR="00B070D4" w:rsidRPr="00B070D4" w:rsidTr="00EA327C">
        <w:tc>
          <w:tcPr>
            <w:tcW w:w="3539" w:type="dxa"/>
          </w:tcPr>
          <w:p w:rsidR="00B070D4" w:rsidRPr="00B070D4" w:rsidRDefault="00B070D4" w:rsidP="00C60CE3">
            <w:pPr>
              <w:ind w:right="1984"/>
              <w:jc w:val="both"/>
              <w:rPr>
                <w:rFonts w:ascii="CorpoS" w:hAnsi="CorpoS"/>
                <w:b/>
                <w:sz w:val="22"/>
                <w:szCs w:val="22"/>
                <w:lang w:val="de-DE"/>
              </w:rPr>
            </w:pPr>
          </w:p>
        </w:tc>
        <w:tc>
          <w:tcPr>
            <w:tcW w:w="2835" w:type="dxa"/>
          </w:tcPr>
          <w:p w:rsidR="00B070D4" w:rsidRPr="00B070D4" w:rsidRDefault="00B070D4" w:rsidP="00C60CE3">
            <w:pPr>
              <w:ind w:right="25"/>
              <w:jc w:val="both"/>
              <w:rPr>
                <w:rFonts w:ascii="CorpoS" w:hAnsi="CorpoS"/>
                <w:b/>
                <w:sz w:val="22"/>
                <w:szCs w:val="22"/>
                <w:lang w:val="de-DE"/>
              </w:rPr>
            </w:pPr>
            <w:r w:rsidRPr="00B070D4">
              <w:rPr>
                <w:rFonts w:ascii="CorpoS" w:hAnsi="CorpoS"/>
                <w:b/>
                <w:sz w:val="22"/>
                <w:szCs w:val="22"/>
                <w:lang w:val="de-DE"/>
              </w:rPr>
              <w:t>alt</w:t>
            </w:r>
          </w:p>
        </w:tc>
        <w:tc>
          <w:tcPr>
            <w:tcW w:w="2971" w:type="dxa"/>
          </w:tcPr>
          <w:p w:rsidR="00B070D4" w:rsidRPr="00B070D4" w:rsidRDefault="00B070D4" w:rsidP="00C60CE3">
            <w:pPr>
              <w:ind w:right="25"/>
              <w:jc w:val="both"/>
              <w:rPr>
                <w:rFonts w:ascii="CorpoS" w:hAnsi="CorpoS"/>
                <w:b/>
                <w:sz w:val="22"/>
                <w:szCs w:val="22"/>
                <w:lang w:val="de-DE"/>
              </w:rPr>
            </w:pPr>
            <w:r w:rsidRPr="00B070D4">
              <w:rPr>
                <w:rFonts w:ascii="CorpoS" w:hAnsi="CorpoS"/>
                <w:b/>
                <w:sz w:val="22"/>
                <w:szCs w:val="22"/>
                <w:lang w:val="de-DE"/>
              </w:rPr>
              <w:t>neu</w:t>
            </w:r>
          </w:p>
        </w:tc>
      </w:tr>
      <w:tr w:rsidR="00B070D4" w:rsidRPr="00330585" w:rsidTr="00EA327C">
        <w:tc>
          <w:tcPr>
            <w:tcW w:w="3539" w:type="dxa"/>
          </w:tcPr>
          <w:p w:rsidR="00B070D4" w:rsidRPr="00B079EB" w:rsidRDefault="00B070D4" w:rsidP="00C60CE3">
            <w:pPr>
              <w:ind w:right="1984"/>
              <w:jc w:val="both"/>
              <w:rPr>
                <w:rFonts w:ascii="CorpoS" w:hAnsi="CorpoS"/>
                <w:b/>
                <w:sz w:val="22"/>
                <w:szCs w:val="22"/>
                <w:lang w:val="de-DE"/>
              </w:rPr>
            </w:pPr>
            <w:r w:rsidRPr="00B079EB">
              <w:rPr>
                <w:rFonts w:ascii="CorpoS" w:hAnsi="CorpoS"/>
                <w:b/>
                <w:sz w:val="22"/>
                <w:szCs w:val="22"/>
                <w:lang w:val="de-DE"/>
              </w:rPr>
              <w:t>Umsatz</w:t>
            </w:r>
          </w:p>
        </w:tc>
        <w:tc>
          <w:tcPr>
            <w:tcW w:w="2835" w:type="dxa"/>
          </w:tcPr>
          <w:p w:rsidR="00B070D4" w:rsidRPr="009E2757" w:rsidRDefault="00B070D4" w:rsidP="00C60CE3">
            <w:pPr>
              <w:ind w:right="25"/>
              <w:jc w:val="both"/>
              <w:rPr>
                <w:rFonts w:ascii="CorpoS" w:hAnsi="CorpoS"/>
                <w:color w:val="FF0000"/>
                <w:sz w:val="22"/>
                <w:szCs w:val="22"/>
                <w:lang w:val="de-DE"/>
              </w:rPr>
            </w:pPr>
            <w:r w:rsidRPr="009E2757">
              <w:rPr>
                <w:rFonts w:ascii="CorpoS" w:hAnsi="CorpoS"/>
                <w:sz w:val="22"/>
                <w:szCs w:val="22"/>
                <w:lang w:val="de-DE"/>
              </w:rPr>
              <w:t>5,2 bis 5,4 Mrd. €</w:t>
            </w:r>
          </w:p>
        </w:tc>
        <w:tc>
          <w:tcPr>
            <w:tcW w:w="2971" w:type="dxa"/>
          </w:tcPr>
          <w:p w:rsidR="00B070D4" w:rsidRPr="009E2757" w:rsidRDefault="00330585" w:rsidP="00C60CE3">
            <w:pPr>
              <w:ind w:right="25"/>
              <w:jc w:val="both"/>
              <w:rPr>
                <w:rFonts w:ascii="CorpoS" w:hAnsi="CorpoS"/>
                <w:sz w:val="22"/>
                <w:szCs w:val="22"/>
                <w:lang w:val="de-DE"/>
              </w:rPr>
            </w:pPr>
            <w:r>
              <w:rPr>
                <w:rFonts w:ascii="CorpoS" w:hAnsi="CorpoS"/>
                <w:sz w:val="22"/>
                <w:szCs w:val="22"/>
                <w:lang w:val="de-DE"/>
              </w:rPr>
              <w:t>5,4 bis 5,5 Mrd. €</w:t>
            </w:r>
          </w:p>
        </w:tc>
      </w:tr>
      <w:tr w:rsidR="00B070D4" w:rsidRPr="00330585" w:rsidTr="00EA327C">
        <w:tc>
          <w:tcPr>
            <w:tcW w:w="3539" w:type="dxa"/>
          </w:tcPr>
          <w:p w:rsidR="00B070D4" w:rsidRPr="00B079EB" w:rsidRDefault="00B070D4" w:rsidP="00C60CE3">
            <w:pPr>
              <w:ind w:right="30"/>
              <w:jc w:val="both"/>
              <w:rPr>
                <w:rFonts w:ascii="CorpoS" w:hAnsi="CorpoS"/>
                <w:i/>
                <w:sz w:val="22"/>
                <w:szCs w:val="22"/>
                <w:lang w:val="de-DE"/>
              </w:rPr>
            </w:pPr>
            <w:r w:rsidRPr="00B079EB">
              <w:rPr>
                <w:rFonts w:ascii="CorpoS" w:hAnsi="CorpoS"/>
                <w:i/>
                <w:sz w:val="22"/>
                <w:szCs w:val="22"/>
                <w:lang w:val="de-DE"/>
              </w:rPr>
              <w:t>dabei: organische Umsatzentwicklung</w:t>
            </w:r>
          </w:p>
        </w:tc>
        <w:tc>
          <w:tcPr>
            <w:tcW w:w="2835" w:type="dxa"/>
          </w:tcPr>
          <w:p w:rsidR="00B070D4" w:rsidRPr="009E2757" w:rsidRDefault="00B070D4" w:rsidP="00C60CE3">
            <w:pPr>
              <w:ind w:right="1984"/>
              <w:jc w:val="both"/>
              <w:rPr>
                <w:rFonts w:ascii="CorpoS" w:hAnsi="CorpoS"/>
                <w:i/>
                <w:color w:val="FF0000"/>
                <w:sz w:val="22"/>
                <w:szCs w:val="22"/>
                <w:lang w:val="de-DE"/>
              </w:rPr>
            </w:pPr>
          </w:p>
        </w:tc>
        <w:tc>
          <w:tcPr>
            <w:tcW w:w="2971" w:type="dxa"/>
          </w:tcPr>
          <w:p w:rsidR="00B070D4" w:rsidRPr="009E2757" w:rsidRDefault="00B070D4" w:rsidP="00C60CE3">
            <w:pPr>
              <w:ind w:right="1984"/>
              <w:jc w:val="both"/>
              <w:rPr>
                <w:rFonts w:ascii="CorpoS" w:hAnsi="CorpoS"/>
                <w:i/>
                <w:color w:val="FF0000"/>
                <w:sz w:val="22"/>
                <w:szCs w:val="22"/>
                <w:lang w:val="de-DE"/>
              </w:rPr>
            </w:pPr>
          </w:p>
        </w:tc>
      </w:tr>
      <w:tr w:rsidR="00B070D4" w:rsidRPr="00330585" w:rsidTr="00EA327C">
        <w:tc>
          <w:tcPr>
            <w:tcW w:w="3539" w:type="dxa"/>
          </w:tcPr>
          <w:p w:rsidR="00B070D4" w:rsidRPr="00B079EB" w:rsidRDefault="00B070D4" w:rsidP="00B070D4">
            <w:pPr>
              <w:ind w:right="320"/>
              <w:jc w:val="both"/>
              <w:rPr>
                <w:rFonts w:ascii="CorpoS" w:hAnsi="CorpoS"/>
                <w:i/>
                <w:sz w:val="22"/>
                <w:szCs w:val="22"/>
                <w:lang w:val="de-DE"/>
              </w:rPr>
            </w:pPr>
            <w:r w:rsidRPr="00B079EB">
              <w:rPr>
                <w:rFonts w:ascii="CorpoS" w:hAnsi="CorpoS"/>
                <w:i/>
                <w:sz w:val="22"/>
                <w:szCs w:val="22"/>
                <w:lang w:val="de-DE"/>
              </w:rPr>
              <w:t xml:space="preserve">       </w:t>
            </w:r>
            <w:r>
              <w:rPr>
                <w:rFonts w:ascii="CorpoS" w:hAnsi="CorpoS"/>
                <w:i/>
                <w:sz w:val="22"/>
                <w:szCs w:val="22"/>
                <w:lang w:val="de-DE"/>
              </w:rPr>
              <w:t>ziviles Neu</w:t>
            </w:r>
            <w:r w:rsidRPr="00B079EB">
              <w:rPr>
                <w:rFonts w:ascii="CorpoS" w:hAnsi="CorpoS"/>
                <w:i/>
                <w:sz w:val="22"/>
                <w:szCs w:val="22"/>
                <w:lang w:val="de-DE"/>
              </w:rPr>
              <w:t>geschäft</w:t>
            </w:r>
          </w:p>
        </w:tc>
        <w:tc>
          <w:tcPr>
            <w:tcW w:w="2835" w:type="dxa"/>
          </w:tcPr>
          <w:p w:rsidR="00B070D4" w:rsidRPr="009E2757" w:rsidRDefault="00B070D4" w:rsidP="00B070D4">
            <w:pPr>
              <w:ind w:right="29"/>
              <w:jc w:val="both"/>
              <w:rPr>
                <w:rFonts w:ascii="CorpoS" w:hAnsi="CorpoS"/>
                <w:i/>
                <w:color w:val="FF0000"/>
                <w:sz w:val="22"/>
                <w:szCs w:val="22"/>
                <w:lang w:val="de-DE"/>
              </w:rPr>
            </w:pPr>
            <w:r w:rsidRPr="009E2757">
              <w:rPr>
                <w:rFonts w:ascii="CorpoS" w:hAnsi="CorpoS"/>
                <w:i/>
                <w:sz w:val="22"/>
                <w:szCs w:val="22"/>
                <w:lang w:val="de-DE"/>
              </w:rPr>
              <w:t xml:space="preserve">Anstieg im </w:t>
            </w:r>
            <w:r>
              <w:rPr>
                <w:rFonts w:ascii="CorpoS" w:hAnsi="CorpoS"/>
                <w:i/>
                <w:sz w:val="22"/>
                <w:szCs w:val="22"/>
                <w:lang w:val="de-DE"/>
              </w:rPr>
              <w:t>mittleren bis hohen Zehner-Proz</w:t>
            </w:r>
            <w:r w:rsidRPr="009E2757">
              <w:rPr>
                <w:rFonts w:ascii="CorpoS" w:hAnsi="CorpoS"/>
                <w:i/>
                <w:sz w:val="22"/>
                <w:szCs w:val="22"/>
                <w:lang w:val="de-DE"/>
              </w:rPr>
              <w:t>entbereich</w:t>
            </w:r>
          </w:p>
        </w:tc>
        <w:tc>
          <w:tcPr>
            <w:tcW w:w="2971" w:type="dxa"/>
          </w:tcPr>
          <w:p w:rsidR="00B070D4" w:rsidRPr="009E2757" w:rsidRDefault="00B070D4" w:rsidP="00B070D4">
            <w:pPr>
              <w:ind w:right="29"/>
              <w:jc w:val="both"/>
              <w:rPr>
                <w:rFonts w:ascii="CorpoS" w:hAnsi="CorpoS"/>
                <w:i/>
                <w:color w:val="FF0000"/>
                <w:sz w:val="22"/>
                <w:szCs w:val="22"/>
                <w:lang w:val="de-DE"/>
              </w:rPr>
            </w:pPr>
            <w:r w:rsidRPr="009E2757">
              <w:rPr>
                <w:rFonts w:ascii="CorpoS" w:hAnsi="CorpoS"/>
                <w:i/>
                <w:sz w:val="22"/>
                <w:szCs w:val="22"/>
                <w:lang w:val="de-DE"/>
              </w:rPr>
              <w:t xml:space="preserve">Anstieg im </w:t>
            </w:r>
            <w:r>
              <w:rPr>
                <w:rFonts w:ascii="CorpoS" w:hAnsi="CorpoS"/>
                <w:i/>
                <w:sz w:val="22"/>
                <w:szCs w:val="22"/>
                <w:lang w:val="de-DE"/>
              </w:rPr>
              <w:t>mittleren bis hohen Zehner-Proz</w:t>
            </w:r>
            <w:r w:rsidRPr="009E2757">
              <w:rPr>
                <w:rFonts w:ascii="CorpoS" w:hAnsi="CorpoS"/>
                <w:i/>
                <w:sz w:val="22"/>
                <w:szCs w:val="22"/>
                <w:lang w:val="de-DE"/>
              </w:rPr>
              <w:t>entbereich</w:t>
            </w:r>
          </w:p>
        </w:tc>
      </w:tr>
      <w:tr w:rsidR="00B070D4" w:rsidRPr="00330585" w:rsidTr="00EA327C">
        <w:tc>
          <w:tcPr>
            <w:tcW w:w="3539" w:type="dxa"/>
          </w:tcPr>
          <w:p w:rsidR="00B070D4" w:rsidRPr="00B079EB" w:rsidRDefault="00B070D4" w:rsidP="00B070D4">
            <w:pPr>
              <w:ind w:right="34"/>
              <w:jc w:val="both"/>
              <w:rPr>
                <w:rFonts w:ascii="CorpoS" w:hAnsi="CorpoS"/>
                <w:i/>
                <w:sz w:val="22"/>
                <w:szCs w:val="22"/>
                <w:lang w:val="de-DE"/>
              </w:rPr>
            </w:pPr>
            <w:r w:rsidRPr="00B079EB">
              <w:rPr>
                <w:rFonts w:ascii="CorpoS" w:hAnsi="CorpoS"/>
                <w:i/>
                <w:sz w:val="22"/>
                <w:szCs w:val="22"/>
                <w:lang w:val="de-DE"/>
              </w:rPr>
              <w:t xml:space="preserve">       Ersatzteilgeschäft</w:t>
            </w:r>
          </w:p>
        </w:tc>
        <w:tc>
          <w:tcPr>
            <w:tcW w:w="2835" w:type="dxa"/>
          </w:tcPr>
          <w:p w:rsidR="00B070D4" w:rsidRPr="009E2757" w:rsidRDefault="00B070D4" w:rsidP="00B070D4">
            <w:pPr>
              <w:jc w:val="both"/>
              <w:rPr>
                <w:rFonts w:ascii="CorpoS" w:hAnsi="CorpoS"/>
                <w:i/>
                <w:color w:val="FF0000"/>
                <w:sz w:val="22"/>
                <w:szCs w:val="22"/>
                <w:lang w:val="de-DE"/>
              </w:rPr>
            </w:pPr>
            <w:r w:rsidRPr="009E2757">
              <w:rPr>
                <w:rFonts w:ascii="CorpoS" w:hAnsi="CorpoS"/>
                <w:i/>
                <w:sz w:val="22"/>
                <w:szCs w:val="22"/>
                <w:lang w:val="de-DE"/>
              </w:rPr>
              <w:t>Anstieg im mittleren Zehner-Prozentbereich</w:t>
            </w:r>
          </w:p>
        </w:tc>
        <w:tc>
          <w:tcPr>
            <w:tcW w:w="2971" w:type="dxa"/>
          </w:tcPr>
          <w:p w:rsidR="00B070D4" w:rsidRPr="009E2757" w:rsidRDefault="00B070D4" w:rsidP="00B070D4">
            <w:pPr>
              <w:jc w:val="both"/>
              <w:rPr>
                <w:rFonts w:ascii="CorpoS" w:hAnsi="CorpoS"/>
                <w:i/>
                <w:color w:val="FF0000"/>
                <w:sz w:val="22"/>
                <w:szCs w:val="22"/>
                <w:lang w:val="de-DE"/>
              </w:rPr>
            </w:pPr>
            <w:r w:rsidRPr="009E2757">
              <w:rPr>
                <w:rFonts w:ascii="CorpoS" w:hAnsi="CorpoS"/>
                <w:i/>
                <w:sz w:val="22"/>
                <w:szCs w:val="22"/>
                <w:lang w:val="de-DE"/>
              </w:rPr>
              <w:t>Anstieg im mittleren Zehner-Prozentbereich</w:t>
            </w:r>
          </w:p>
        </w:tc>
      </w:tr>
      <w:tr w:rsidR="00B070D4" w:rsidRPr="00330585" w:rsidTr="00EA327C">
        <w:tc>
          <w:tcPr>
            <w:tcW w:w="3539" w:type="dxa"/>
          </w:tcPr>
          <w:p w:rsidR="00B070D4" w:rsidRPr="00B079EB" w:rsidRDefault="00B070D4" w:rsidP="00B070D4">
            <w:pPr>
              <w:tabs>
                <w:tab w:val="left" w:pos="2443"/>
              </w:tabs>
              <w:ind w:right="314"/>
              <w:jc w:val="both"/>
              <w:rPr>
                <w:rFonts w:ascii="CorpoS" w:hAnsi="CorpoS"/>
                <w:i/>
                <w:sz w:val="22"/>
                <w:szCs w:val="22"/>
                <w:lang w:val="de-DE"/>
              </w:rPr>
            </w:pPr>
            <w:r w:rsidRPr="00B079EB">
              <w:rPr>
                <w:rFonts w:ascii="CorpoS" w:hAnsi="CorpoS"/>
                <w:i/>
                <w:sz w:val="22"/>
                <w:szCs w:val="22"/>
                <w:lang w:val="de-DE"/>
              </w:rPr>
              <w:t xml:space="preserve">       </w:t>
            </w:r>
            <w:r>
              <w:rPr>
                <w:rFonts w:ascii="CorpoS" w:hAnsi="CorpoS"/>
                <w:i/>
                <w:sz w:val="22"/>
                <w:szCs w:val="22"/>
                <w:lang w:val="de-DE"/>
              </w:rPr>
              <w:t>Militärgeschäft</w:t>
            </w:r>
          </w:p>
        </w:tc>
        <w:tc>
          <w:tcPr>
            <w:tcW w:w="2835" w:type="dxa"/>
          </w:tcPr>
          <w:p w:rsidR="00B070D4" w:rsidRPr="009E2757" w:rsidRDefault="00B070D4" w:rsidP="00B070D4">
            <w:pPr>
              <w:ind w:right="452"/>
              <w:jc w:val="both"/>
              <w:rPr>
                <w:rFonts w:ascii="CorpoS" w:hAnsi="CorpoS"/>
                <w:i/>
                <w:color w:val="FF0000"/>
                <w:sz w:val="22"/>
                <w:szCs w:val="22"/>
                <w:lang w:val="de-DE"/>
              </w:rPr>
            </w:pPr>
            <w:r w:rsidRPr="009E2757">
              <w:rPr>
                <w:rFonts w:ascii="CorpoS" w:hAnsi="CorpoS"/>
                <w:i/>
                <w:sz w:val="22"/>
                <w:szCs w:val="22"/>
                <w:lang w:val="de-DE"/>
              </w:rPr>
              <w:t>Anstieg im hohen einstelligen Prozentbereich</w:t>
            </w:r>
          </w:p>
        </w:tc>
        <w:tc>
          <w:tcPr>
            <w:tcW w:w="2971" w:type="dxa"/>
          </w:tcPr>
          <w:p w:rsidR="00B070D4" w:rsidRPr="009E2757" w:rsidRDefault="00B070D4" w:rsidP="00B070D4">
            <w:pPr>
              <w:ind w:right="452"/>
              <w:jc w:val="both"/>
              <w:rPr>
                <w:rFonts w:ascii="CorpoS" w:hAnsi="CorpoS"/>
                <w:i/>
                <w:color w:val="FF0000"/>
                <w:sz w:val="22"/>
                <w:szCs w:val="22"/>
                <w:lang w:val="de-DE"/>
              </w:rPr>
            </w:pPr>
            <w:r w:rsidRPr="009E2757">
              <w:rPr>
                <w:rFonts w:ascii="CorpoS" w:hAnsi="CorpoS"/>
                <w:i/>
                <w:sz w:val="22"/>
                <w:szCs w:val="22"/>
                <w:lang w:val="de-DE"/>
              </w:rPr>
              <w:t>Anstieg im hohen einstelligen Prozentbereich</w:t>
            </w:r>
          </w:p>
        </w:tc>
      </w:tr>
      <w:tr w:rsidR="00B070D4" w:rsidRPr="00B070D4" w:rsidTr="00EA327C">
        <w:tc>
          <w:tcPr>
            <w:tcW w:w="3539" w:type="dxa"/>
          </w:tcPr>
          <w:p w:rsidR="00B070D4" w:rsidRPr="00B079EB" w:rsidRDefault="00B070D4" w:rsidP="00C60CE3">
            <w:pPr>
              <w:ind w:right="603"/>
              <w:jc w:val="both"/>
              <w:rPr>
                <w:rFonts w:ascii="CorpoS" w:hAnsi="CorpoS"/>
                <w:i/>
                <w:sz w:val="22"/>
                <w:szCs w:val="22"/>
                <w:lang w:val="de-DE"/>
              </w:rPr>
            </w:pPr>
            <w:r w:rsidRPr="00B079EB">
              <w:rPr>
                <w:rFonts w:ascii="CorpoS" w:hAnsi="CorpoS"/>
                <w:i/>
                <w:sz w:val="22"/>
                <w:szCs w:val="22"/>
                <w:lang w:val="de-DE"/>
              </w:rPr>
              <w:t xml:space="preserve">       zivile Instandhaltung</w:t>
            </w:r>
          </w:p>
        </w:tc>
        <w:tc>
          <w:tcPr>
            <w:tcW w:w="2835" w:type="dxa"/>
          </w:tcPr>
          <w:p w:rsidR="00B070D4" w:rsidRPr="009E2757" w:rsidRDefault="00B070D4" w:rsidP="00B070D4">
            <w:pPr>
              <w:ind w:right="27"/>
              <w:jc w:val="both"/>
              <w:rPr>
                <w:rFonts w:ascii="CorpoS" w:hAnsi="CorpoS"/>
                <w:i/>
                <w:color w:val="FF0000"/>
                <w:sz w:val="22"/>
                <w:szCs w:val="22"/>
                <w:lang w:val="de-DE"/>
              </w:rPr>
            </w:pPr>
            <w:r w:rsidRPr="009E2757">
              <w:rPr>
                <w:rFonts w:ascii="CorpoS" w:hAnsi="CorpoS"/>
                <w:i/>
                <w:sz w:val="22"/>
                <w:szCs w:val="22"/>
                <w:lang w:val="de-DE"/>
              </w:rPr>
              <w:t>Anstieg im hohen Z</w:t>
            </w:r>
            <w:r>
              <w:rPr>
                <w:rFonts w:ascii="CorpoS" w:hAnsi="CorpoS"/>
                <w:i/>
                <w:sz w:val="22"/>
                <w:szCs w:val="22"/>
                <w:lang w:val="de-DE"/>
              </w:rPr>
              <w:t>ehner</w:t>
            </w:r>
            <w:r w:rsidRPr="009E2757">
              <w:rPr>
                <w:rFonts w:ascii="CorpoS" w:hAnsi="CorpoS"/>
                <w:i/>
                <w:sz w:val="22"/>
                <w:szCs w:val="22"/>
                <w:lang w:val="de-DE"/>
              </w:rPr>
              <w:t>-Prozentbereich</w:t>
            </w:r>
          </w:p>
        </w:tc>
        <w:tc>
          <w:tcPr>
            <w:tcW w:w="2971" w:type="dxa"/>
          </w:tcPr>
          <w:p w:rsidR="00B070D4" w:rsidRPr="009E2757" w:rsidRDefault="00B070D4" w:rsidP="00C60CE3">
            <w:pPr>
              <w:ind w:right="27"/>
              <w:jc w:val="both"/>
              <w:rPr>
                <w:rFonts w:ascii="CorpoS" w:hAnsi="CorpoS"/>
                <w:i/>
                <w:sz w:val="22"/>
                <w:szCs w:val="22"/>
                <w:lang w:val="de-DE"/>
              </w:rPr>
            </w:pPr>
            <w:r>
              <w:rPr>
                <w:rFonts w:ascii="CorpoS" w:hAnsi="CorpoS"/>
                <w:i/>
                <w:sz w:val="22"/>
                <w:szCs w:val="22"/>
                <w:lang w:val="de-DE"/>
              </w:rPr>
              <w:t>Anstieg um etwa 20 %</w:t>
            </w:r>
          </w:p>
        </w:tc>
      </w:tr>
      <w:tr w:rsidR="00B070D4" w:rsidRPr="00330585" w:rsidTr="00EA327C">
        <w:tc>
          <w:tcPr>
            <w:tcW w:w="3539" w:type="dxa"/>
          </w:tcPr>
          <w:p w:rsidR="00B070D4" w:rsidRPr="00B079EB" w:rsidRDefault="00B070D4" w:rsidP="00C60CE3">
            <w:pPr>
              <w:ind w:right="887"/>
              <w:jc w:val="both"/>
              <w:rPr>
                <w:rFonts w:ascii="CorpoS" w:hAnsi="CorpoS"/>
                <w:b/>
                <w:sz w:val="22"/>
                <w:szCs w:val="22"/>
                <w:lang w:val="de-DE"/>
              </w:rPr>
            </w:pPr>
            <w:r w:rsidRPr="00B079EB">
              <w:rPr>
                <w:rFonts w:ascii="CorpoS" w:hAnsi="CorpoS"/>
                <w:b/>
                <w:sz w:val="22"/>
                <w:szCs w:val="22"/>
                <w:lang w:val="de-DE"/>
              </w:rPr>
              <w:t>EBIT (bereinigt)</w:t>
            </w:r>
          </w:p>
        </w:tc>
        <w:tc>
          <w:tcPr>
            <w:tcW w:w="2835" w:type="dxa"/>
          </w:tcPr>
          <w:p w:rsidR="00B070D4" w:rsidRPr="009E2757" w:rsidRDefault="00B070D4" w:rsidP="00C60CE3">
            <w:pPr>
              <w:jc w:val="both"/>
              <w:rPr>
                <w:rFonts w:ascii="CorpoS" w:hAnsi="CorpoS"/>
                <w:color w:val="FF0000"/>
                <w:sz w:val="22"/>
                <w:szCs w:val="22"/>
                <w:lang w:val="de-DE"/>
              </w:rPr>
            </w:pPr>
            <w:r w:rsidRPr="009E2757">
              <w:rPr>
                <w:rFonts w:ascii="CorpoS" w:hAnsi="CorpoS"/>
                <w:sz w:val="22"/>
                <w:szCs w:val="22"/>
                <w:lang w:val="de-DE"/>
              </w:rPr>
              <w:t>Anstieg im mittleren Zwanziger-Prozentbereich</w:t>
            </w:r>
          </w:p>
        </w:tc>
        <w:tc>
          <w:tcPr>
            <w:tcW w:w="2971" w:type="dxa"/>
          </w:tcPr>
          <w:p w:rsidR="00B070D4" w:rsidRPr="009E2757" w:rsidRDefault="00B070D4" w:rsidP="00C60CE3">
            <w:pPr>
              <w:jc w:val="both"/>
              <w:rPr>
                <w:rFonts w:ascii="CorpoS" w:hAnsi="CorpoS"/>
                <w:sz w:val="22"/>
                <w:szCs w:val="22"/>
                <w:lang w:val="de-DE"/>
              </w:rPr>
            </w:pPr>
            <w:r>
              <w:rPr>
                <w:rFonts w:ascii="CorpoS" w:hAnsi="CorpoS"/>
                <w:sz w:val="22"/>
                <w:szCs w:val="22"/>
                <w:lang w:val="de-DE"/>
              </w:rPr>
              <w:t>Anstieg im niedrigen Dreißiger-Prozentbereich</w:t>
            </w:r>
          </w:p>
        </w:tc>
      </w:tr>
      <w:tr w:rsidR="00B070D4" w:rsidRPr="00B079EB" w:rsidTr="00EA327C">
        <w:tc>
          <w:tcPr>
            <w:tcW w:w="3539" w:type="dxa"/>
          </w:tcPr>
          <w:p w:rsidR="00B070D4" w:rsidRPr="00B079EB" w:rsidRDefault="00B070D4" w:rsidP="00C60CE3">
            <w:pPr>
              <w:ind w:right="1170"/>
              <w:jc w:val="both"/>
              <w:rPr>
                <w:rFonts w:ascii="CorpoS" w:hAnsi="CorpoS"/>
                <w:b/>
                <w:sz w:val="22"/>
                <w:szCs w:val="22"/>
                <w:lang w:val="de-DE"/>
              </w:rPr>
            </w:pPr>
            <w:r w:rsidRPr="00B079EB">
              <w:rPr>
                <w:rFonts w:ascii="CorpoS" w:hAnsi="CorpoS"/>
                <w:b/>
                <w:sz w:val="22"/>
                <w:szCs w:val="22"/>
                <w:lang w:val="de-DE"/>
              </w:rPr>
              <w:t>Net Income (bereinigt)</w:t>
            </w:r>
          </w:p>
        </w:tc>
        <w:tc>
          <w:tcPr>
            <w:tcW w:w="2835" w:type="dxa"/>
          </w:tcPr>
          <w:p w:rsidR="00B070D4" w:rsidRPr="009E2757" w:rsidRDefault="00B070D4" w:rsidP="00C60CE3">
            <w:pPr>
              <w:jc w:val="both"/>
              <w:rPr>
                <w:rFonts w:ascii="CorpoS" w:hAnsi="CorpoS"/>
                <w:color w:val="FF0000"/>
                <w:sz w:val="22"/>
                <w:szCs w:val="22"/>
                <w:lang w:val="de-DE"/>
              </w:rPr>
            </w:pPr>
            <w:r w:rsidRPr="009E2757">
              <w:rPr>
                <w:rFonts w:ascii="CorpoS" w:hAnsi="CorpoS"/>
                <w:sz w:val="22"/>
                <w:szCs w:val="22"/>
                <w:lang w:val="de-DE"/>
              </w:rPr>
              <w:t>Entwicklung analog EBIT (bereinigt)</w:t>
            </w:r>
          </w:p>
        </w:tc>
        <w:tc>
          <w:tcPr>
            <w:tcW w:w="2971" w:type="dxa"/>
          </w:tcPr>
          <w:p w:rsidR="00B070D4" w:rsidRPr="009E2757" w:rsidRDefault="00B070D4" w:rsidP="00C60CE3">
            <w:pPr>
              <w:jc w:val="both"/>
              <w:rPr>
                <w:rFonts w:ascii="CorpoS" w:hAnsi="CorpoS"/>
                <w:sz w:val="22"/>
                <w:szCs w:val="22"/>
                <w:lang w:val="de-DE"/>
              </w:rPr>
            </w:pPr>
            <w:r w:rsidRPr="009E2757">
              <w:rPr>
                <w:rFonts w:ascii="CorpoS" w:hAnsi="CorpoS"/>
                <w:sz w:val="22"/>
                <w:szCs w:val="22"/>
                <w:lang w:val="de-DE"/>
              </w:rPr>
              <w:t>Entwicklung analog EBIT (bereinigt)</w:t>
            </w:r>
          </w:p>
        </w:tc>
      </w:tr>
      <w:tr w:rsidR="00B070D4" w:rsidRPr="00B070D4" w:rsidTr="00EA327C">
        <w:tc>
          <w:tcPr>
            <w:tcW w:w="3539" w:type="dxa"/>
          </w:tcPr>
          <w:p w:rsidR="00B070D4" w:rsidRPr="00B079EB" w:rsidRDefault="00B070D4" w:rsidP="00C60CE3">
            <w:pPr>
              <w:ind w:right="887"/>
              <w:jc w:val="both"/>
              <w:rPr>
                <w:rFonts w:ascii="CorpoS" w:hAnsi="CorpoS"/>
                <w:b/>
                <w:sz w:val="22"/>
                <w:szCs w:val="22"/>
                <w:lang w:val="de-DE"/>
              </w:rPr>
            </w:pPr>
            <w:r w:rsidRPr="00B079EB">
              <w:rPr>
                <w:rFonts w:ascii="CorpoS" w:hAnsi="CorpoS"/>
                <w:b/>
                <w:sz w:val="22"/>
                <w:szCs w:val="22"/>
                <w:lang w:val="de-DE"/>
              </w:rPr>
              <w:t xml:space="preserve">Cash </w:t>
            </w:r>
            <w:proofErr w:type="spellStart"/>
            <w:r w:rsidRPr="00B079EB">
              <w:rPr>
                <w:rFonts w:ascii="CorpoS" w:hAnsi="CorpoS"/>
                <w:b/>
                <w:sz w:val="22"/>
                <w:szCs w:val="22"/>
                <w:lang w:val="de-DE"/>
              </w:rPr>
              <w:t>Conversion</w:t>
            </w:r>
            <w:proofErr w:type="spellEnd"/>
            <w:r w:rsidRPr="00B079EB">
              <w:rPr>
                <w:rFonts w:ascii="CorpoS" w:hAnsi="CorpoS"/>
                <w:b/>
                <w:sz w:val="22"/>
                <w:szCs w:val="22"/>
                <w:lang w:val="de-DE"/>
              </w:rPr>
              <w:t xml:space="preserve"> Rate</w:t>
            </w:r>
          </w:p>
        </w:tc>
        <w:tc>
          <w:tcPr>
            <w:tcW w:w="2835" w:type="dxa"/>
          </w:tcPr>
          <w:p w:rsidR="00B070D4" w:rsidRPr="002756EB" w:rsidRDefault="00B070D4" w:rsidP="00C60CE3">
            <w:pPr>
              <w:jc w:val="both"/>
              <w:rPr>
                <w:rFonts w:ascii="CorpoS" w:hAnsi="CorpoS"/>
                <w:sz w:val="22"/>
                <w:szCs w:val="22"/>
                <w:lang w:val="de-DE"/>
              </w:rPr>
            </w:pPr>
            <w:r>
              <w:rPr>
                <w:rFonts w:ascii="CorpoS" w:hAnsi="CorpoS"/>
                <w:sz w:val="22"/>
                <w:szCs w:val="22"/>
                <w:lang w:val="de-DE"/>
              </w:rPr>
              <w:t>m</w:t>
            </w:r>
            <w:r w:rsidRPr="00B079EB">
              <w:rPr>
                <w:rFonts w:ascii="CorpoS" w:hAnsi="CorpoS"/>
                <w:sz w:val="22"/>
                <w:szCs w:val="22"/>
                <w:lang w:val="de-DE"/>
              </w:rPr>
              <w:t>ittlerer</w:t>
            </w:r>
            <w:r>
              <w:rPr>
                <w:rFonts w:ascii="CorpoS" w:hAnsi="CorpoS"/>
                <w:sz w:val="22"/>
                <w:szCs w:val="22"/>
                <w:lang w:val="de-DE"/>
              </w:rPr>
              <w:t xml:space="preserve"> bis hoher</w:t>
            </w:r>
            <w:r w:rsidRPr="00B079EB">
              <w:rPr>
                <w:rFonts w:ascii="CorpoS" w:hAnsi="CorpoS"/>
                <w:sz w:val="22"/>
                <w:szCs w:val="22"/>
                <w:lang w:val="de-DE"/>
              </w:rPr>
              <w:t xml:space="preserve"> zweistelliger Prozentbereich</w:t>
            </w:r>
          </w:p>
        </w:tc>
        <w:tc>
          <w:tcPr>
            <w:tcW w:w="2971" w:type="dxa"/>
          </w:tcPr>
          <w:p w:rsidR="00B070D4" w:rsidRDefault="00B070D4" w:rsidP="00C60CE3">
            <w:pPr>
              <w:jc w:val="both"/>
              <w:rPr>
                <w:rFonts w:ascii="CorpoS" w:hAnsi="CorpoS"/>
                <w:sz w:val="22"/>
                <w:szCs w:val="22"/>
                <w:lang w:val="de-DE"/>
              </w:rPr>
            </w:pPr>
            <w:r>
              <w:rPr>
                <w:rFonts w:ascii="CorpoS" w:hAnsi="CorpoS"/>
                <w:sz w:val="22"/>
                <w:szCs w:val="22"/>
                <w:lang w:val="de-DE"/>
              </w:rPr>
              <w:t>etwa 60 bis 70 %</w:t>
            </w:r>
          </w:p>
        </w:tc>
      </w:tr>
    </w:tbl>
    <w:p w:rsidR="00E957DB" w:rsidRDefault="00E957DB" w:rsidP="0030178E">
      <w:pPr>
        <w:ind w:right="1984"/>
        <w:jc w:val="both"/>
        <w:rPr>
          <w:rFonts w:ascii="CorpoS" w:hAnsi="CorpoS"/>
          <w:b/>
          <w:sz w:val="20"/>
          <w:u w:val="single"/>
          <w:lang w:val="de-DE"/>
        </w:rPr>
      </w:pPr>
    </w:p>
    <w:p w:rsidR="00E957DB" w:rsidRDefault="00E957DB" w:rsidP="0030178E">
      <w:pPr>
        <w:ind w:right="1984"/>
        <w:jc w:val="both"/>
        <w:rPr>
          <w:rFonts w:ascii="CorpoS" w:hAnsi="CorpoS"/>
          <w:b/>
          <w:sz w:val="20"/>
          <w:u w:val="single"/>
          <w:lang w:val="de-DE"/>
        </w:rPr>
      </w:pPr>
    </w:p>
    <w:p w:rsidR="005A5BBE" w:rsidRDefault="005A5BBE" w:rsidP="005A5BBE">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rsidR="005A5BBE" w:rsidRPr="007425D1" w:rsidRDefault="005A5BBE" w:rsidP="005A5BB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5A5BBE" w:rsidRPr="007425D1" w:rsidRDefault="005A5BBE" w:rsidP="005A5BBE">
      <w:pPr>
        <w:ind w:right="424"/>
        <w:jc w:val="both"/>
        <w:rPr>
          <w:rFonts w:ascii="CorpoS" w:hAnsi="CorpoS" w:cs="Arial"/>
          <w:sz w:val="20"/>
          <w:lang w:val="de-DE"/>
        </w:rPr>
      </w:pPr>
    </w:p>
    <w:p w:rsidR="005A5BBE" w:rsidRPr="007425D1" w:rsidRDefault="005A5BBE" w:rsidP="005A5BBE">
      <w:pPr>
        <w:ind w:right="424"/>
        <w:jc w:val="both"/>
        <w:rPr>
          <w:rFonts w:ascii="CorpoS" w:hAnsi="CorpoS" w:cs="Arial"/>
          <w:sz w:val="20"/>
          <w:lang w:val="de-DE"/>
        </w:rPr>
      </w:pPr>
    </w:p>
    <w:p w:rsidR="005A5BBE" w:rsidRPr="006166B4" w:rsidRDefault="005A5BBE" w:rsidP="005A5BBE">
      <w:pPr>
        <w:rPr>
          <w:rFonts w:ascii="CorpoS" w:hAnsi="CorpoS"/>
          <w:sz w:val="20"/>
          <w:u w:val="single"/>
          <w:lang w:val="de-DE"/>
        </w:rPr>
      </w:pPr>
      <w:r w:rsidRPr="006166B4">
        <w:rPr>
          <w:rFonts w:ascii="CorpoS" w:hAnsi="CorpoS"/>
          <w:sz w:val="20"/>
          <w:u w:val="single"/>
          <w:lang w:val="de-DE"/>
        </w:rPr>
        <w:t>Ihre Ansprechpartner:</w:t>
      </w:r>
    </w:p>
    <w:p w:rsidR="005A5BBE" w:rsidRPr="006166B4" w:rsidRDefault="005A5BBE" w:rsidP="005A5BB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5A5BBE" w:rsidRPr="006166B4" w:rsidRDefault="005A5BBE" w:rsidP="005A5BB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5A5BBE" w:rsidRPr="00E942B3" w:rsidRDefault="005A5BBE" w:rsidP="005A5BB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5A5BBE" w:rsidRPr="00E942B3" w:rsidRDefault="005A5BBE" w:rsidP="005A5BB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5A5BBE" w:rsidRPr="006166B4" w:rsidRDefault="005A5BBE" w:rsidP="005A5BB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5A5BBE" w:rsidRPr="006166B4" w:rsidRDefault="005A5BBE" w:rsidP="005A5BB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5A5BBE" w:rsidRPr="006166B4" w:rsidRDefault="005A5BBE" w:rsidP="005A5BBE">
      <w:pPr>
        <w:rPr>
          <w:rFonts w:ascii="CorpoS" w:hAnsi="CorpoS"/>
          <w:szCs w:val="24"/>
          <w:u w:val="single"/>
          <w:lang w:val="de-DE"/>
        </w:rPr>
      </w:pPr>
    </w:p>
    <w:p w:rsidR="005A5BBE" w:rsidRPr="006166B4" w:rsidRDefault="005A5BBE" w:rsidP="005A5BB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5A5BBE" w:rsidRPr="006166B4" w:rsidRDefault="005A5BBE" w:rsidP="005A5BBE">
      <w:pPr>
        <w:pStyle w:val="MTUBodycopy"/>
        <w:tabs>
          <w:tab w:val="left" w:pos="8505"/>
        </w:tabs>
        <w:ind w:right="1984"/>
        <w:jc w:val="both"/>
        <w:rPr>
          <w:i/>
          <w:lang w:val="de-DE"/>
        </w:rPr>
      </w:pPr>
    </w:p>
    <w:p w:rsidR="005A5BBE" w:rsidRPr="006166B4" w:rsidRDefault="005A5BBE" w:rsidP="005A5BB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5A5BBE" w:rsidRPr="006166B4" w:rsidRDefault="005A5BBE" w:rsidP="005A5BBE">
      <w:pPr>
        <w:rPr>
          <w:rFonts w:ascii="CorpoS" w:hAnsi="CorpoS"/>
          <w:sz w:val="16"/>
          <w:szCs w:val="16"/>
          <w:lang w:val="de-DE"/>
        </w:rPr>
      </w:pPr>
    </w:p>
    <w:p w:rsidR="005A5BBE" w:rsidRPr="00C51A14" w:rsidRDefault="005A5BBE" w:rsidP="005A5BB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p w:rsidR="00DD64E9" w:rsidRPr="00C51A14" w:rsidRDefault="00DD64E9" w:rsidP="00711D21">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2F70"/>
    <w:rsid w:val="00084883"/>
    <w:rsid w:val="000860C0"/>
    <w:rsid w:val="000939E0"/>
    <w:rsid w:val="00094DD7"/>
    <w:rsid w:val="00095C96"/>
    <w:rsid w:val="00096329"/>
    <w:rsid w:val="000A1616"/>
    <w:rsid w:val="000A22E2"/>
    <w:rsid w:val="000A4FBA"/>
    <w:rsid w:val="000A6390"/>
    <w:rsid w:val="000A65E0"/>
    <w:rsid w:val="000B1468"/>
    <w:rsid w:val="000B2DE3"/>
    <w:rsid w:val="000B4618"/>
    <w:rsid w:val="000B624E"/>
    <w:rsid w:val="000B67F6"/>
    <w:rsid w:val="000C07D5"/>
    <w:rsid w:val="000C09A7"/>
    <w:rsid w:val="000C0F63"/>
    <w:rsid w:val="000C117F"/>
    <w:rsid w:val="000C1A76"/>
    <w:rsid w:val="000C7B00"/>
    <w:rsid w:val="000D0091"/>
    <w:rsid w:val="000D2837"/>
    <w:rsid w:val="000D30B4"/>
    <w:rsid w:val="000D472F"/>
    <w:rsid w:val="000E0516"/>
    <w:rsid w:val="000E11FC"/>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63A39"/>
    <w:rsid w:val="00170367"/>
    <w:rsid w:val="00172C9C"/>
    <w:rsid w:val="00181D71"/>
    <w:rsid w:val="0018428A"/>
    <w:rsid w:val="00185F1D"/>
    <w:rsid w:val="00187B91"/>
    <w:rsid w:val="00191C2E"/>
    <w:rsid w:val="00197CF5"/>
    <w:rsid w:val="001A1295"/>
    <w:rsid w:val="001A4478"/>
    <w:rsid w:val="001A47CB"/>
    <w:rsid w:val="001B1AE3"/>
    <w:rsid w:val="001B434D"/>
    <w:rsid w:val="001B5DC2"/>
    <w:rsid w:val="001C403E"/>
    <w:rsid w:val="001C53D3"/>
    <w:rsid w:val="001C5559"/>
    <w:rsid w:val="001C5F28"/>
    <w:rsid w:val="001C651B"/>
    <w:rsid w:val="001D0A9D"/>
    <w:rsid w:val="001D0CE4"/>
    <w:rsid w:val="001D1846"/>
    <w:rsid w:val="001D4082"/>
    <w:rsid w:val="001D4D29"/>
    <w:rsid w:val="001D5D33"/>
    <w:rsid w:val="001E0F56"/>
    <w:rsid w:val="001E178D"/>
    <w:rsid w:val="001E5591"/>
    <w:rsid w:val="001E56B3"/>
    <w:rsid w:val="001E5784"/>
    <w:rsid w:val="001E71BD"/>
    <w:rsid w:val="001F14E6"/>
    <w:rsid w:val="001F34ED"/>
    <w:rsid w:val="001F4294"/>
    <w:rsid w:val="002017DB"/>
    <w:rsid w:val="0020205B"/>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765E6"/>
    <w:rsid w:val="00280197"/>
    <w:rsid w:val="00281AA0"/>
    <w:rsid w:val="00286DEB"/>
    <w:rsid w:val="00290B6D"/>
    <w:rsid w:val="00291085"/>
    <w:rsid w:val="0029213E"/>
    <w:rsid w:val="00293B4D"/>
    <w:rsid w:val="00294293"/>
    <w:rsid w:val="00295ECB"/>
    <w:rsid w:val="00296646"/>
    <w:rsid w:val="002966FA"/>
    <w:rsid w:val="002A006A"/>
    <w:rsid w:val="002A0942"/>
    <w:rsid w:val="002A20B0"/>
    <w:rsid w:val="002A3DF2"/>
    <w:rsid w:val="002A4079"/>
    <w:rsid w:val="002A57D3"/>
    <w:rsid w:val="002A63C8"/>
    <w:rsid w:val="002B3054"/>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78E"/>
    <w:rsid w:val="003018DF"/>
    <w:rsid w:val="00302095"/>
    <w:rsid w:val="00305E13"/>
    <w:rsid w:val="0030683D"/>
    <w:rsid w:val="00310230"/>
    <w:rsid w:val="00310E95"/>
    <w:rsid w:val="003116B4"/>
    <w:rsid w:val="00311CAE"/>
    <w:rsid w:val="00314028"/>
    <w:rsid w:val="00316554"/>
    <w:rsid w:val="003166DB"/>
    <w:rsid w:val="00317423"/>
    <w:rsid w:val="00322F67"/>
    <w:rsid w:val="00323114"/>
    <w:rsid w:val="00324FB1"/>
    <w:rsid w:val="00325951"/>
    <w:rsid w:val="00330585"/>
    <w:rsid w:val="003306E0"/>
    <w:rsid w:val="003328AC"/>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390"/>
    <w:rsid w:val="003536F8"/>
    <w:rsid w:val="00354A2A"/>
    <w:rsid w:val="00354BD1"/>
    <w:rsid w:val="00355745"/>
    <w:rsid w:val="00355763"/>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4C71"/>
    <w:rsid w:val="003E612B"/>
    <w:rsid w:val="003E65EC"/>
    <w:rsid w:val="003E7697"/>
    <w:rsid w:val="003F0EC8"/>
    <w:rsid w:val="003F3C37"/>
    <w:rsid w:val="003F3DBA"/>
    <w:rsid w:val="003F4F8C"/>
    <w:rsid w:val="0040017C"/>
    <w:rsid w:val="004044B7"/>
    <w:rsid w:val="004044E9"/>
    <w:rsid w:val="00405869"/>
    <w:rsid w:val="00407460"/>
    <w:rsid w:val="00410940"/>
    <w:rsid w:val="00411628"/>
    <w:rsid w:val="00415D3F"/>
    <w:rsid w:val="00416CE4"/>
    <w:rsid w:val="004203A5"/>
    <w:rsid w:val="00421D92"/>
    <w:rsid w:val="00421E42"/>
    <w:rsid w:val="00422193"/>
    <w:rsid w:val="00422AC8"/>
    <w:rsid w:val="004232FE"/>
    <w:rsid w:val="00424DDD"/>
    <w:rsid w:val="00426058"/>
    <w:rsid w:val="00431FEC"/>
    <w:rsid w:val="00433A66"/>
    <w:rsid w:val="004429B1"/>
    <w:rsid w:val="00444D67"/>
    <w:rsid w:val="004470D8"/>
    <w:rsid w:val="00447F58"/>
    <w:rsid w:val="004607AE"/>
    <w:rsid w:val="00462E55"/>
    <w:rsid w:val="0046413D"/>
    <w:rsid w:val="00466DC0"/>
    <w:rsid w:val="0047232B"/>
    <w:rsid w:val="00472A29"/>
    <w:rsid w:val="00475107"/>
    <w:rsid w:val="00475E50"/>
    <w:rsid w:val="00476248"/>
    <w:rsid w:val="004778EB"/>
    <w:rsid w:val="004803BB"/>
    <w:rsid w:val="00481764"/>
    <w:rsid w:val="0048381E"/>
    <w:rsid w:val="0048499B"/>
    <w:rsid w:val="00490BB2"/>
    <w:rsid w:val="00490C18"/>
    <w:rsid w:val="00494B76"/>
    <w:rsid w:val="0049611B"/>
    <w:rsid w:val="004966DC"/>
    <w:rsid w:val="00496A36"/>
    <w:rsid w:val="00497A32"/>
    <w:rsid w:val="004A092E"/>
    <w:rsid w:val="004A4B04"/>
    <w:rsid w:val="004A738C"/>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200F5"/>
    <w:rsid w:val="00522324"/>
    <w:rsid w:val="00526131"/>
    <w:rsid w:val="0052685E"/>
    <w:rsid w:val="00526D8D"/>
    <w:rsid w:val="00531941"/>
    <w:rsid w:val="00532315"/>
    <w:rsid w:val="005372F6"/>
    <w:rsid w:val="00541147"/>
    <w:rsid w:val="0054129D"/>
    <w:rsid w:val="005427EA"/>
    <w:rsid w:val="0054532F"/>
    <w:rsid w:val="005453B7"/>
    <w:rsid w:val="005501C9"/>
    <w:rsid w:val="005555C2"/>
    <w:rsid w:val="00556F66"/>
    <w:rsid w:val="0056031D"/>
    <w:rsid w:val="00560D20"/>
    <w:rsid w:val="00564226"/>
    <w:rsid w:val="005660B5"/>
    <w:rsid w:val="00567B1D"/>
    <w:rsid w:val="00572802"/>
    <w:rsid w:val="0057356D"/>
    <w:rsid w:val="0057389B"/>
    <w:rsid w:val="00574B13"/>
    <w:rsid w:val="00576097"/>
    <w:rsid w:val="005810E3"/>
    <w:rsid w:val="0058165A"/>
    <w:rsid w:val="00583F6B"/>
    <w:rsid w:val="00584230"/>
    <w:rsid w:val="00584264"/>
    <w:rsid w:val="00584F4F"/>
    <w:rsid w:val="00584FA3"/>
    <w:rsid w:val="00591762"/>
    <w:rsid w:val="005934BB"/>
    <w:rsid w:val="00594932"/>
    <w:rsid w:val="005A006F"/>
    <w:rsid w:val="005A1451"/>
    <w:rsid w:val="005A280D"/>
    <w:rsid w:val="005A3CA0"/>
    <w:rsid w:val="005A4152"/>
    <w:rsid w:val="005A5BBE"/>
    <w:rsid w:val="005A75B7"/>
    <w:rsid w:val="005B1253"/>
    <w:rsid w:val="005B4229"/>
    <w:rsid w:val="005B4F69"/>
    <w:rsid w:val="005B5A86"/>
    <w:rsid w:val="005B5E19"/>
    <w:rsid w:val="005B61E0"/>
    <w:rsid w:val="005B7771"/>
    <w:rsid w:val="005C4EC9"/>
    <w:rsid w:val="005C6330"/>
    <w:rsid w:val="005C6A8C"/>
    <w:rsid w:val="005D2735"/>
    <w:rsid w:val="005D6292"/>
    <w:rsid w:val="005D737B"/>
    <w:rsid w:val="005E128F"/>
    <w:rsid w:val="005E1D59"/>
    <w:rsid w:val="005E2F6D"/>
    <w:rsid w:val="005E64C5"/>
    <w:rsid w:val="005F0CA7"/>
    <w:rsid w:val="005F55C7"/>
    <w:rsid w:val="005F699B"/>
    <w:rsid w:val="005F6B07"/>
    <w:rsid w:val="00600333"/>
    <w:rsid w:val="00601381"/>
    <w:rsid w:val="0060201F"/>
    <w:rsid w:val="00602DEE"/>
    <w:rsid w:val="00603DF3"/>
    <w:rsid w:val="00606944"/>
    <w:rsid w:val="00607764"/>
    <w:rsid w:val="006140A4"/>
    <w:rsid w:val="00614A3F"/>
    <w:rsid w:val="006156F6"/>
    <w:rsid w:val="00616F28"/>
    <w:rsid w:val="00617CD4"/>
    <w:rsid w:val="0062287C"/>
    <w:rsid w:val="0062319C"/>
    <w:rsid w:val="0062777D"/>
    <w:rsid w:val="00631730"/>
    <w:rsid w:val="0063424C"/>
    <w:rsid w:val="00636522"/>
    <w:rsid w:val="006368A1"/>
    <w:rsid w:val="006379B7"/>
    <w:rsid w:val="00640206"/>
    <w:rsid w:val="00640770"/>
    <w:rsid w:val="00641C70"/>
    <w:rsid w:val="00645AA4"/>
    <w:rsid w:val="006466E5"/>
    <w:rsid w:val="0065120E"/>
    <w:rsid w:val="0065197B"/>
    <w:rsid w:val="0065327F"/>
    <w:rsid w:val="006573CE"/>
    <w:rsid w:val="00660E21"/>
    <w:rsid w:val="00661D67"/>
    <w:rsid w:val="00667C33"/>
    <w:rsid w:val="006719DA"/>
    <w:rsid w:val="00672FAB"/>
    <w:rsid w:val="00673BEF"/>
    <w:rsid w:val="0067551C"/>
    <w:rsid w:val="00681B62"/>
    <w:rsid w:val="00682B38"/>
    <w:rsid w:val="0068586D"/>
    <w:rsid w:val="00686E41"/>
    <w:rsid w:val="006906EB"/>
    <w:rsid w:val="00692934"/>
    <w:rsid w:val="006929DF"/>
    <w:rsid w:val="00692AEF"/>
    <w:rsid w:val="0069361B"/>
    <w:rsid w:val="00694A29"/>
    <w:rsid w:val="00694F51"/>
    <w:rsid w:val="00695DED"/>
    <w:rsid w:val="00696E88"/>
    <w:rsid w:val="006A16CD"/>
    <w:rsid w:val="006A30A9"/>
    <w:rsid w:val="006A71EF"/>
    <w:rsid w:val="006B0CBE"/>
    <w:rsid w:val="006B1097"/>
    <w:rsid w:val="006B37D9"/>
    <w:rsid w:val="006B61E1"/>
    <w:rsid w:val="006C7C86"/>
    <w:rsid w:val="006D1BF3"/>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B30"/>
    <w:rsid w:val="00711D21"/>
    <w:rsid w:val="00712F46"/>
    <w:rsid w:val="00714F82"/>
    <w:rsid w:val="007174B3"/>
    <w:rsid w:val="007213D0"/>
    <w:rsid w:val="0072741F"/>
    <w:rsid w:val="00727D93"/>
    <w:rsid w:val="00727F2B"/>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89D"/>
    <w:rsid w:val="007773AE"/>
    <w:rsid w:val="0077756B"/>
    <w:rsid w:val="007801BC"/>
    <w:rsid w:val="00783811"/>
    <w:rsid w:val="0078769A"/>
    <w:rsid w:val="00787DE3"/>
    <w:rsid w:val="007902FC"/>
    <w:rsid w:val="0079113C"/>
    <w:rsid w:val="00792985"/>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C7D85"/>
    <w:rsid w:val="007D020C"/>
    <w:rsid w:val="007D307F"/>
    <w:rsid w:val="007D3740"/>
    <w:rsid w:val="007D4FCF"/>
    <w:rsid w:val="007D5ABB"/>
    <w:rsid w:val="007D70CA"/>
    <w:rsid w:val="007E2F59"/>
    <w:rsid w:val="007E7CA5"/>
    <w:rsid w:val="007E7E43"/>
    <w:rsid w:val="007F194B"/>
    <w:rsid w:val="007F3FA3"/>
    <w:rsid w:val="007F43F8"/>
    <w:rsid w:val="007F5DED"/>
    <w:rsid w:val="00804AFD"/>
    <w:rsid w:val="008064CE"/>
    <w:rsid w:val="00806654"/>
    <w:rsid w:val="00812E8C"/>
    <w:rsid w:val="008163EE"/>
    <w:rsid w:val="008168F1"/>
    <w:rsid w:val="00816A3A"/>
    <w:rsid w:val="00817CEE"/>
    <w:rsid w:val="00821A96"/>
    <w:rsid w:val="00822C91"/>
    <w:rsid w:val="00826963"/>
    <w:rsid w:val="00826A11"/>
    <w:rsid w:val="008271DD"/>
    <w:rsid w:val="008314C6"/>
    <w:rsid w:val="00831FA3"/>
    <w:rsid w:val="00832A2D"/>
    <w:rsid w:val="00833404"/>
    <w:rsid w:val="0083457F"/>
    <w:rsid w:val="00837CB6"/>
    <w:rsid w:val="00840ED4"/>
    <w:rsid w:val="00841802"/>
    <w:rsid w:val="008418A3"/>
    <w:rsid w:val="0084218C"/>
    <w:rsid w:val="00842C48"/>
    <w:rsid w:val="0084472C"/>
    <w:rsid w:val="00846648"/>
    <w:rsid w:val="00851896"/>
    <w:rsid w:val="00853255"/>
    <w:rsid w:val="0085541A"/>
    <w:rsid w:val="0086110A"/>
    <w:rsid w:val="008612D6"/>
    <w:rsid w:val="008651D1"/>
    <w:rsid w:val="00872C46"/>
    <w:rsid w:val="00875A82"/>
    <w:rsid w:val="00884707"/>
    <w:rsid w:val="008879C4"/>
    <w:rsid w:val="00890BCF"/>
    <w:rsid w:val="00891BD3"/>
    <w:rsid w:val="008936CD"/>
    <w:rsid w:val="008944CD"/>
    <w:rsid w:val="00895B9F"/>
    <w:rsid w:val="008A1E29"/>
    <w:rsid w:val="008A1E6D"/>
    <w:rsid w:val="008A23C6"/>
    <w:rsid w:val="008A5EAE"/>
    <w:rsid w:val="008A687C"/>
    <w:rsid w:val="008A6D05"/>
    <w:rsid w:val="008B2068"/>
    <w:rsid w:val="008B3B18"/>
    <w:rsid w:val="008B70A2"/>
    <w:rsid w:val="008B7DE2"/>
    <w:rsid w:val="008C2911"/>
    <w:rsid w:val="008C2D6C"/>
    <w:rsid w:val="008C3580"/>
    <w:rsid w:val="008C5630"/>
    <w:rsid w:val="008C7FB8"/>
    <w:rsid w:val="008D30CD"/>
    <w:rsid w:val="008D3F07"/>
    <w:rsid w:val="008D5F6B"/>
    <w:rsid w:val="008D7030"/>
    <w:rsid w:val="008D7CDD"/>
    <w:rsid w:val="008E3B41"/>
    <w:rsid w:val="008E4130"/>
    <w:rsid w:val="008F0DAC"/>
    <w:rsid w:val="008F7EB9"/>
    <w:rsid w:val="0090767E"/>
    <w:rsid w:val="00907BC3"/>
    <w:rsid w:val="0091495A"/>
    <w:rsid w:val="00914C01"/>
    <w:rsid w:val="00914C9B"/>
    <w:rsid w:val="009153DB"/>
    <w:rsid w:val="00917918"/>
    <w:rsid w:val="0092266A"/>
    <w:rsid w:val="00923D30"/>
    <w:rsid w:val="0092588A"/>
    <w:rsid w:val="0092750A"/>
    <w:rsid w:val="009306FF"/>
    <w:rsid w:val="00932903"/>
    <w:rsid w:val="00932E78"/>
    <w:rsid w:val="009330AF"/>
    <w:rsid w:val="0093506E"/>
    <w:rsid w:val="0093526E"/>
    <w:rsid w:val="00936208"/>
    <w:rsid w:val="00937D4C"/>
    <w:rsid w:val="00942722"/>
    <w:rsid w:val="00944CD8"/>
    <w:rsid w:val="00945147"/>
    <w:rsid w:val="009451BC"/>
    <w:rsid w:val="009465EC"/>
    <w:rsid w:val="00947620"/>
    <w:rsid w:val="00947BA9"/>
    <w:rsid w:val="00950960"/>
    <w:rsid w:val="009510EF"/>
    <w:rsid w:val="00955146"/>
    <w:rsid w:val="00956671"/>
    <w:rsid w:val="0096124D"/>
    <w:rsid w:val="009621AC"/>
    <w:rsid w:val="00962C3D"/>
    <w:rsid w:val="00963D45"/>
    <w:rsid w:val="00966D07"/>
    <w:rsid w:val="00966EB2"/>
    <w:rsid w:val="009677D8"/>
    <w:rsid w:val="00970F2A"/>
    <w:rsid w:val="00971E42"/>
    <w:rsid w:val="00972A32"/>
    <w:rsid w:val="00974D59"/>
    <w:rsid w:val="00976657"/>
    <w:rsid w:val="00977B12"/>
    <w:rsid w:val="00977BA5"/>
    <w:rsid w:val="00977BC9"/>
    <w:rsid w:val="009821A2"/>
    <w:rsid w:val="00982B92"/>
    <w:rsid w:val="00984BD9"/>
    <w:rsid w:val="00984C9F"/>
    <w:rsid w:val="00990DAF"/>
    <w:rsid w:val="00991CFF"/>
    <w:rsid w:val="00992B29"/>
    <w:rsid w:val="00992CD8"/>
    <w:rsid w:val="009959F2"/>
    <w:rsid w:val="0099749E"/>
    <w:rsid w:val="00997AC3"/>
    <w:rsid w:val="009A2E36"/>
    <w:rsid w:val="009A3A91"/>
    <w:rsid w:val="009A5275"/>
    <w:rsid w:val="009B0DD6"/>
    <w:rsid w:val="009B110E"/>
    <w:rsid w:val="009B22E6"/>
    <w:rsid w:val="009B230A"/>
    <w:rsid w:val="009B248F"/>
    <w:rsid w:val="009B2DF1"/>
    <w:rsid w:val="009B4DFE"/>
    <w:rsid w:val="009B72F3"/>
    <w:rsid w:val="009C049E"/>
    <w:rsid w:val="009C19B6"/>
    <w:rsid w:val="009C2A26"/>
    <w:rsid w:val="009C3D1C"/>
    <w:rsid w:val="009D1E9E"/>
    <w:rsid w:val="009D2AF7"/>
    <w:rsid w:val="009D35D0"/>
    <w:rsid w:val="009E0A17"/>
    <w:rsid w:val="009E2D48"/>
    <w:rsid w:val="009E49E6"/>
    <w:rsid w:val="009E566C"/>
    <w:rsid w:val="009E62BA"/>
    <w:rsid w:val="00A00B0A"/>
    <w:rsid w:val="00A0180E"/>
    <w:rsid w:val="00A03882"/>
    <w:rsid w:val="00A0482F"/>
    <w:rsid w:val="00A0666F"/>
    <w:rsid w:val="00A06B1D"/>
    <w:rsid w:val="00A1460F"/>
    <w:rsid w:val="00A14E2A"/>
    <w:rsid w:val="00A159D4"/>
    <w:rsid w:val="00A16918"/>
    <w:rsid w:val="00A169FE"/>
    <w:rsid w:val="00A2077D"/>
    <w:rsid w:val="00A22432"/>
    <w:rsid w:val="00A26DAC"/>
    <w:rsid w:val="00A30269"/>
    <w:rsid w:val="00A318DA"/>
    <w:rsid w:val="00A3561D"/>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216"/>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411C"/>
    <w:rsid w:val="00AE6BDA"/>
    <w:rsid w:val="00AF1055"/>
    <w:rsid w:val="00AF2BE8"/>
    <w:rsid w:val="00AF4071"/>
    <w:rsid w:val="00AF4CD5"/>
    <w:rsid w:val="00AF5C7C"/>
    <w:rsid w:val="00AF712C"/>
    <w:rsid w:val="00AF74CB"/>
    <w:rsid w:val="00AF7961"/>
    <w:rsid w:val="00B0190F"/>
    <w:rsid w:val="00B040EC"/>
    <w:rsid w:val="00B05CE3"/>
    <w:rsid w:val="00B067FA"/>
    <w:rsid w:val="00B070D4"/>
    <w:rsid w:val="00B076D6"/>
    <w:rsid w:val="00B118F8"/>
    <w:rsid w:val="00B121FD"/>
    <w:rsid w:val="00B12B4A"/>
    <w:rsid w:val="00B14FBD"/>
    <w:rsid w:val="00B1640E"/>
    <w:rsid w:val="00B17715"/>
    <w:rsid w:val="00B22562"/>
    <w:rsid w:val="00B2314E"/>
    <w:rsid w:val="00B248E8"/>
    <w:rsid w:val="00B37A26"/>
    <w:rsid w:val="00B42372"/>
    <w:rsid w:val="00B43819"/>
    <w:rsid w:val="00B45093"/>
    <w:rsid w:val="00B47642"/>
    <w:rsid w:val="00B51A82"/>
    <w:rsid w:val="00B531A8"/>
    <w:rsid w:val="00B57837"/>
    <w:rsid w:val="00B57AE5"/>
    <w:rsid w:val="00B57F6C"/>
    <w:rsid w:val="00B60E2E"/>
    <w:rsid w:val="00B61CC4"/>
    <w:rsid w:val="00B652CF"/>
    <w:rsid w:val="00B662CB"/>
    <w:rsid w:val="00B67E21"/>
    <w:rsid w:val="00B71385"/>
    <w:rsid w:val="00B72BDB"/>
    <w:rsid w:val="00B764DA"/>
    <w:rsid w:val="00B773E8"/>
    <w:rsid w:val="00B8002F"/>
    <w:rsid w:val="00B800D4"/>
    <w:rsid w:val="00B82437"/>
    <w:rsid w:val="00B82B40"/>
    <w:rsid w:val="00B8505D"/>
    <w:rsid w:val="00B86EB1"/>
    <w:rsid w:val="00B87AF1"/>
    <w:rsid w:val="00B91284"/>
    <w:rsid w:val="00B92461"/>
    <w:rsid w:val="00B94466"/>
    <w:rsid w:val="00B95116"/>
    <w:rsid w:val="00B96909"/>
    <w:rsid w:val="00B977C5"/>
    <w:rsid w:val="00BA047C"/>
    <w:rsid w:val="00BA326C"/>
    <w:rsid w:val="00BA5A44"/>
    <w:rsid w:val="00BA6BBE"/>
    <w:rsid w:val="00BB03F9"/>
    <w:rsid w:val="00BB0EA9"/>
    <w:rsid w:val="00BB2E97"/>
    <w:rsid w:val="00BB5475"/>
    <w:rsid w:val="00BB5BC7"/>
    <w:rsid w:val="00BC0EFB"/>
    <w:rsid w:val="00BC26AC"/>
    <w:rsid w:val="00BC6FF6"/>
    <w:rsid w:val="00BC7C0F"/>
    <w:rsid w:val="00BD03D1"/>
    <w:rsid w:val="00BD0659"/>
    <w:rsid w:val="00BD4F3C"/>
    <w:rsid w:val="00BE0256"/>
    <w:rsid w:val="00BE340A"/>
    <w:rsid w:val="00BE5BA9"/>
    <w:rsid w:val="00BE76B6"/>
    <w:rsid w:val="00BF3B42"/>
    <w:rsid w:val="00BF53D7"/>
    <w:rsid w:val="00BF7EAD"/>
    <w:rsid w:val="00C022E0"/>
    <w:rsid w:val="00C037D7"/>
    <w:rsid w:val="00C0727F"/>
    <w:rsid w:val="00C11438"/>
    <w:rsid w:val="00C11F8D"/>
    <w:rsid w:val="00C12E81"/>
    <w:rsid w:val="00C13226"/>
    <w:rsid w:val="00C167F5"/>
    <w:rsid w:val="00C16B05"/>
    <w:rsid w:val="00C17B16"/>
    <w:rsid w:val="00C232B9"/>
    <w:rsid w:val="00C311FF"/>
    <w:rsid w:val="00C3136C"/>
    <w:rsid w:val="00C32522"/>
    <w:rsid w:val="00C32663"/>
    <w:rsid w:val="00C33551"/>
    <w:rsid w:val="00C33C4A"/>
    <w:rsid w:val="00C345E3"/>
    <w:rsid w:val="00C422B3"/>
    <w:rsid w:val="00C44533"/>
    <w:rsid w:val="00C46210"/>
    <w:rsid w:val="00C4731B"/>
    <w:rsid w:val="00C51A14"/>
    <w:rsid w:val="00C53234"/>
    <w:rsid w:val="00C551E1"/>
    <w:rsid w:val="00C5543F"/>
    <w:rsid w:val="00C56DE6"/>
    <w:rsid w:val="00C6116C"/>
    <w:rsid w:val="00C627ED"/>
    <w:rsid w:val="00C66179"/>
    <w:rsid w:val="00C6738A"/>
    <w:rsid w:val="00C71470"/>
    <w:rsid w:val="00C73544"/>
    <w:rsid w:val="00C74BED"/>
    <w:rsid w:val="00C75B75"/>
    <w:rsid w:val="00C84525"/>
    <w:rsid w:val="00C84921"/>
    <w:rsid w:val="00C853E9"/>
    <w:rsid w:val="00C871B9"/>
    <w:rsid w:val="00C914C3"/>
    <w:rsid w:val="00C91E70"/>
    <w:rsid w:val="00C921BA"/>
    <w:rsid w:val="00C93C32"/>
    <w:rsid w:val="00C93E63"/>
    <w:rsid w:val="00C9409F"/>
    <w:rsid w:val="00C951A9"/>
    <w:rsid w:val="00C95373"/>
    <w:rsid w:val="00C969D6"/>
    <w:rsid w:val="00CA302C"/>
    <w:rsid w:val="00CA7DD6"/>
    <w:rsid w:val="00CB0939"/>
    <w:rsid w:val="00CB178B"/>
    <w:rsid w:val="00CB1E20"/>
    <w:rsid w:val="00CB325E"/>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62FBB"/>
    <w:rsid w:val="00D63569"/>
    <w:rsid w:val="00D7050F"/>
    <w:rsid w:val="00D7261C"/>
    <w:rsid w:val="00D731CF"/>
    <w:rsid w:val="00D735CD"/>
    <w:rsid w:val="00D73883"/>
    <w:rsid w:val="00D76C52"/>
    <w:rsid w:val="00D816A3"/>
    <w:rsid w:val="00D822B2"/>
    <w:rsid w:val="00D91CB2"/>
    <w:rsid w:val="00D94AE8"/>
    <w:rsid w:val="00DA0900"/>
    <w:rsid w:val="00DA4419"/>
    <w:rsid w:val="00DA738B"/>
    <w:rsid w:val="00DB545D"/>
    <w:rsid w:val="00DC1516"/>
    <w:rsid w:val="00DC3B2E"/>
    <w:rsid w:val="00DC3EB1"/>
    <w:rsid w:val="00DC4FCF"/>
    <w:rsid w:val="00DC6A34"/>
    <w:rsid w:val="00DD2182"/>
    <w:rsid w:val="00DD5E3F"/>
    <w:rsid w:val="00DD64E9"/>
    <w:rsid w:val="00DD6965"/>
    <w:rsid w:val="00DD6C03"/>
    <w:rsid w:val="00DD6DD3"/>
    <w:rsid w:val="00DD7595"/>
    <w:rsid w:val="00DD7DC5"/>
    <w:rsid w:val="00DE3D5A"/>
    <w:rsid w:val="00DE62C3"/>
    <w:rsid w:val="00DE6448"/>
    <w:rsid w:val="00DE7C93"/>
    <w:rsid w:val="00DF1595"/>
    <w:rsid w:val="00DF2E8C"/>
    <w:rsid w:val="00DF4118"/>
    <w:rsid w:val="00DF69E2"/>
    <w:rsid w:val="00E01E18"/>
    <w:rsid w:val="00E020A6"/>
    <w:rsid w:val="00E05E93"/>
    <w:rsid w:val="00E10840"/>
    <w:rsid w:val="00E11A77"/>
    <w:rsid w:val="00E16208"/>
    <w:rsid w:val="00E1645F"/>
    <w:rsid w:val="00E24A90"/>
    <w:rsid w:val="00E27DF2"/>
    <w:rsid w:val="00E3381D"/>
    <w:rsid w:val="00E347A0"/>
    <w:rsid w:val="00E526C7"/>
    <w:rsid w:val="00E54F13"/>
    <w:rsid w:val="00E60431"/>
    <w:rsid w:val="00E6184B"/>
    <w:rsid w:val="00E63DDD"/>
    <w:rsid w:val="00E646AC"/>
    <w:rsid w:val="00E72953"/>
    <w:rsid w:val="00E73842"/>
    <w:rsid w:val="00E757EC"/>
    <w:rsid w:val="00E75CD0"/>
    <w:rsid w:val="00E76A6F"/>
    <w:rsid w:val="00E77D98"/>
    <w:rsid w:val="00E77DB9"/>
    <w:rsid w:val="00E8166E"/>
    <w:rsid w:val="00E82EB4"/>
    <w:rsid w:val="00E84939"/>
    <w:rsid w:val="00E855BE"/>
    <w:rsid w:val="00E91579"/>
    <w:rsid w:val="00E91A8D"/>
    <w:rsid w:val="00E938E2"/>
    <w:rsid w:val="00E94627"/>
    <w:rsid w:val="00E94643"/>
    <w:rsid w:val="00E94FB0"/>
    <w:rsid w:val="00E95299"/>
    <w:rsid w:val="00E957DB"/>
    <w:rsid w:val="00E95A5A"/>
    <w:rsid w:val="00E968EF"/>
    <w:rsid w:val="00E97429"/>
    <w:rsid w:val="00E974BC"/>
    <w:rsid w:val="00EA08FC"/>
    <w:rsid w:val="00EA11B0"/>
    <w:rsid w:val="00EA11D7"/>
    <w:rsid w:val="00EA327C"/>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45BD"/>
    <w:rsid w:val="00ED7F59"/>
    <w:rsid w:val="00EE5133"/>
    <w:rsid w:val="00EF2DA6"/>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02B5"/>
    <w:rsid w:val="00F3273C"/>
    <w:rsid w:val="00F32996"/>
    <w:rsid w:val="00F356E8"/>
    <w:rsid w:val="00F36052"/>
    <w:rsid w:val="00F40C1B"/>
    <w:rsid w:val="00F440C4"/>
    <w:rsid w:val="00F45826"/>
    <w:rsid w:val="00F52D93"/>
    <w:rsid w:val="00F56FAC"/>
    <w:rsid w:val="00F570A5"/>
    <w:rsid w:val="00F57A2F"/>
    <w:rsid w:val="00F57E3F"/>
    <w:rsid w:val="00F57F86"/>
    <w:rsid w:val="00F61758"/>
    <w:rsid w:val="00F6342D"/>
    <w:rsid w:val="00F66683"/>
    <w:rsid w:val="00F7326C"/>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5D25"/>
    <w:rsid w:val="00FF7184"/>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73E9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 w:type="character" w:styleId="Platzhaltertext">
    <w:name w:val="Placeholder Text"/>
    <w:basedOn w:val="Absatz-Standardschriftart"/>
    <w:uiPriority w:val="99"/>
    <w:semiHidden/>
    <w:rsid w:val="00E968EF"/>
    <w:rPr>
      <w:color w:val="808080"/>
    </w:rPr>
  </w:style>
  <w:style w:type="table" w:styleId="Tabellenraster">
    <w:name w:val="Table Grid"/>
    <w:basedOn w:val="NormaleTabelle"/>
    <w:rsid w:val="00B0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166C-2049-4F50-8E2A-9CCB478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10228</Characters>
  <Application>Microsoft Office Word</Application>
  <DocSecurity>2</DocSecurity>
  <Lines>85</Lines>
  <Paragraphs>23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11863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2022-10-17T09:14:00Z</dcterms:created>
  <dcterms:modified xsi:type="dcterms:W3CDTF">2022-10-24T05:51:00Z</dcterms:modified>
</cp:coreProperties>
</file>