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9B" w:rsidRPr="006E0101" w:rsidRDefault="00F538AA" w:rsidP="006707D7">
      <w:pPr>
        <w:tabs>
          <w:tab w:val="left" w:pos="9072"/>
        </w:tabs>
        <w:spacing w:line="300" w:lineRule="exact"/>
        <w:ind w:right="283"/>
        <w:jc w:val="both"/>
        <w:rPr>
          <w:rFonts w:ascii="CorpoS" w:hAnsi="CorpoS"/>
          <w:b/>
          <w:szCs w:val="24"/>
          <w:lang w:val="de-DE"/>
        </w:rPr>
      </w:pPr>
      <w:r w:rsidRPr="006E0101">
        <w:rPr>
          <w:rFonts w:ascii="CorpoS" w:hAnsi="CorpoS"/>
          <w:b/>
          <w:szCs w:val="24"/>
          <w:lang w:val="de-DE"/>
        </w:rPr>
        <w:t xml:space="preserve">Kapitalmarkttag: </w:t>
      </w:r>
      <w:r w:rsidR="007A097C" w:rsidRPr="006E0101">
        <w:rPr>
          <w:rFonts w:ascii="CorpoS" w:hAnsi="CorpoS"/>
          <w:b/>
          <w:szCs w:val="24"/>
          <w:lang w:val="de-DE"/>
        </w:rPr>
        <w:t xml:space="preserve">MTU </w:t>
      </w:r>
      <w:proofErr w:type="spellStart"/>
      <w:r w:rsidR="007A097C" w:rsidRPr="006E0101">
        <w:rPr>
          <w:rFonts w:ascii="CorpoS" w:hAnsi="CorpoS"/>
          <w:b/>
          <w:szCs w:val="24"/>
          <w:lang w:val="de-DE"/>
        </w:rPr>
        <w:t>Aero</w:t>
      </w:r>
      <w:proofErr w:type="spellEnd"/>
      <w:r w:rsidR="007A097C" w:rsidRPr="006E0101">
        <w:rPr>
          <w:rFonts w:ascii="CorpoS" w:hAnsi="CorpoS"/>
          <w:b/>
          <w:szCs w:val="24"/>
          <w:lang w:val="de-DE"/>
        </w:rPr>
        <w:t xml:space="preserve"> </w:t>
      </w:r>
      <w:proofErr w:type="spellStart"/>
      <w:r w:rsidR="007A097C" w:rsidRPr="006E0101">
        <w:rPr>
          <w:rFonts w:ascii="CorpoS" w:hAnsi="CorpoS"/>
          <w:b/>
          <w:szCs w:val="24"/>
          <w:lang w:val="de-DE"/>
        </w:rPr>
        <w:t>Engines</w:t>
      </w:r>
      <w:proofErr w:type="spellEnd"/>
      <w:r w:rsidR="007A097C" w:rsidRPr="006E0101">
        <w:rPr>
          <w:rFonts w:ascii="CorpoS" w:hAnsi="CorpoS"/>
          <w:b/>
          <w:szCs w:val="24"/>
          <w:lang w:val="de-DE"/>
        </w:rPr>
        <w:t xml:space="preserve"> </w:t>
      </w:r>
      <w:r w:rsidR="00F41734" w:rsidRPr="006E0101">
        <w:rPr>
          <w:rFonts w:ascii="CorpoS" w:hAnsi="CorpoS"/>
          <w:b/>
          <w:szCs w:val="24"/>
          <w:lang w:val="de-DE"/>
        </w:rPr>
        <w:t>gibt Ausblick auf 2023 und bestätigt Wachstums</w:t>
      </w:r>
      <w:r w:rsidRPr="006E0101">
        <w:rPr>
          <w:rFonts w:ascii="CorpoS" w:hAnsi="CorpoS"/>
          <w:b/>
          <w:szCs w:val="24"/>
          <w:lang w:val="de-DE"/>
        </w:rPr>
        <w:t>aussichten</w:t>
      </w:r>
    </w:p>
    <w:p w:rsidR="00126FF9" w:rsidRPr="006E0101" w:rsidRDefault="00734E9B" w:rsidP="001D01D5">
      <w:pPr>
        <w:numPr>
          <w:ilvl w:val="0"/>
          <w:numId w:val="11"/>
        </w:numPr>
        <w:tabs>
          <w:tab w:val="left" w:pos="9072"/>
        </w:tabs>
        <w:spacing w:line="300" w:lineRule="exact"/>
        <w:ind w:right="283"/>
        <w:jc w:val="both"/>
        <w:rPr>
          <w:rFonts w:ascii="CorpoS" w:hAnsi="CorpoS"/>
          <w:b/>
          <w:szCs w:val="24"/>
          <w:lang w:val="de-DE"/>
        </w:rPr>
      </w:pPr>
      <w:r w:rsidRPr="006E0101">
        <w:rPr>
          <w:rFonts w:ascii="CorpoS" w:hAnsi="CorpoS"/>
          <w:b/>
          <w:szCs w:val="24"/>
          <w:lang w:val="de-DE"/>
        </w:rPr>
        <w:t>Umsatz</w:t>
      </w:r>
      <w:r w:rsidR="00F538AA" w:rsidRPr="006E0101">
        <w:rPr>
          <w:rFonts w:ascii="CorpoS" w:hAnsi="CorpoS"/>
          <w:b/>
          <w:szCs w:val="24"/>
          <w:lang w:val="de-DE"/>
        </w:rPr>
        <w:t>ziel 2023</w:t>
      </w:r>
      <w:r w:rsidRPr="006E0101">
        <w:rPr>
          <w:rFonts w:ascii="CorpoS" w:hAnsi="CorpoS"/>
          <w:b/>
          <w:szCs w:val="24"/>
          <w:lang w:val="de-DE"/>
        </w:rPr>
        <w:t xml:space="preserve">: </w:t>
      </w:r>
      <w:r w:rsidR="00F538AA" w:rsidRPr="006E0101">
        <w:rPr>
          <w:rFonts w:ascii="CorpoS" w:hAnsi="CorpoS"/>
          <w:b/>
          <w:szCs w:val="24"/>
          <w:lang w:val="de-DE"/>
        </w:rPr>
        <w:t>6,4</w:t>
      </w:r>
      <w:r w:rsidRPr="006E0101">
        <w:rPr>
          <w:rFonts w:ascii="CorpoS" w:hAnsi="CorpoS"/>
          <w:b/>
          <w:szCs w:val="24"/>
          <w:lang w:val="de-DE"/>
        </w:rPr>
        <w:t xml:space="preserve"> bis </w:t>
      </w:r>
      <w:r w:rsidR="00F538AA" w:rsidRPr="006E0101">
        <w:rPr>
          <w:rFonts w:ascii="CorpoS" w:hAnsi="CorpoS"/>
          <w:b/>
          <w:szCs w:val="24"/>
          <w:lang w:val="de-DE"/>
        </w:rPr>
        <w:t>6,6</w:t>
      </w:r>
      <w:r w:rsidRPr="006E0101">
        <w:rPr>
          <w:rFonts w:ascii="CorpoS" w:hAnsi="CorpoS"/>
          <w:b/>
          <w:szCs w:val="24"/>
          <w:lang w:val="de-DE"/>
        </w:rPr>
        <w:t xml:space="preserve"> Milliarden Euro</w:t>
      </w:r>
    </w:p>
    <w:p w:rsidR="00734E9B" w:rsidRPr="006E0101" w:rsidRDefault="00734E9B" w:rsidP="001D01D5">
      <w:pPr>
        <w:numPr>
          <w:ilvl w:val="0"/>
          <w:numId w:val="11"/>
        </w:numPr>
        <w:tabs>
          <w:tab w:val="left" w:pos="9072"/>
        </w:tabs>
        <w:spacing w:line="300" w:lineRule="exact"/>
        <w:ind w:right="283"/>
        <w:jc w:val="both"/>
        <w:rPr>
          <w:rFonts w:ascii="CorpoS" w:hAnsi="CorpoS"/>
          <w:b/>
          <w:szCs w:val="24"/>
          <w:lang w:val="de-DE"/>
        </w:rPr>
      </w:pPr>
      <w:r w:rsidRPr="006E0101">
        <w:rPr>
          <w:rFonts w:ascii="CorpoS" w:hAnsi="CorpoS"/>
          <w:b/>
          <w:szCs w:val="24"/>
          <w:lang w:val="de-DE"/>
        </w:rPr>
        <w:t xml:space="preserve">Bereinigtes EBIT dürfte </w:t>
      </w:r>
      <w:r w:rsidR="00E5137A" w:rsidRPr="006E0101">
        <w:rPr>
          <w:rFonts w:ascii="CorpoS" w:hAnsi="CorpoS"/>
          <w:b/>
          <w:szCs w:val="24"/>
          <w:lang w:val="de-DE"/>
        </w:rPr>
        <w:t>202</w:t>
      </w:r>
      <w:r w:rsidR="00F538AA" w:rsidRPr="006E0101">
        <w:rPr>
          <w:rFonts w:ascii="CorpoS" w:hAnsi="CorpoS"/>
          <w:b/>
          <w:szCs w:val="24"/>
          <w:lang w:val="de-DE"/>
        </w:rPr>
        <w:t>3</w:t>
      </w:r>
      <w:r w:rsidR="00E5137A" w:rsidRPr="006E0101">
        <w:rPr>
          <w:rFonts w:ascii="CorpoS" w:hAnsi="CorpoS"/>
          <w:b/>
          <w:szCs w:val="24"/>
          <w:lang w:val="de-DE"/>
        </w:rPr>
        <w:t xml:space="preserve"> </w:t>
      </w:r>
      <w:r w:rsidRPr="006E0101">
        <w:rPr>
          <w:rFonts w:ascii="CorpoS" w:hAnsi="CorpoS"/>
          <w:b/>
          <w:szCs w:val="24"/>
          <w:lang w:val="de-DE"/>
        </w:rPr>
        <w:t xml:space="preserve">im </w:t>
      </w:r>
      <w:r w:rsidR="00574868">
        <w:rPr>
          <w:rFonts w:ascii="CorpoS" w:hAnsi="CorpoS"/>
          <w:b/>
          <w:szCs w:val="24"/>
          <w:lang w:val="de-DE"/>
        </w:rPr>
        <w:t>niedrigen</w:t>
      </w:r>
      <w:r w:rsidRPr="006E0101">
        <w:rPr>
          <w:rFonts w:ascii="CorpoS" w:hAnsi="CorpoS"/>
          <w:b/>
          <w:szCs w:val="24"/>
          <w:lang w:val="de-DE"/>
        </w:rPr>
        <w:t xml:space="preserve"> Zwanziger-Prozentbereich </w:t>
      </w:r>
      <w:r w:rsidR="001D437B">
        <w:rPr>
          <w:rFonts w:ascii="CorpoS" w:hAnsi="CorpoS"/>
          <w:b/>
          <w:szCs w:val="24"/>
          <w:lang w:val="de-DE"/>
        </w:rPr>
        <w:t>zunehmen</w:t>
      </w:r>
    </w:p>
    <w:p w:rsidR="00C771EC" w:rsidRPr="006E0101" w:rsidRDefault="000B4D33" w:rsidP="002D362A">
      <w:pPr>
        <w:numPr>
          <w:ilvl w:val="0"/>
          <w:numId w:val="11"/>
        </w:numPr>
        <w:tabs>
          <w:tab w:val="left" w:pos="9072"/>
        </w:tabs>
        <w:spacing w:line="300" w:lineRule="exact"/>
        <w:ind w:right="283"/>
        <w:jc w:val="both"/>
        <w:rPr>
          <w:rFonts w:ascii="CorpoS" w:hAnsi="CorpoS"/>
          <w:b/>
          <w:szCs w:val="24"/>
          <w:lang w:val="de-DE"/>
        </w:rPr>
      </w:pPr>
      <w:r w:rsidRPr="006E0101">
        <w:rPr>
          <w:rFonts w:ascii="CorpoS" w:hAnsi="CorpoS"/>
          <w:b/>
          <w:szCs w:val="24"/>
          <w:lang w:val="de-DE"/>
        </w:rPr>
        <w:t xml:space="preserve">2024 </w:t>
      </w:r>
      <w:r w:rsidR="00F538AA" w:rsidRPr="006E0101">
        <w:rPr>
          <w:rFonts w:ascii="CorpoS" w:hAnsi="CorpoS"/>
          <w:b/>
          <w:szCs w:val="24"/>
          <w:lang w:val="de-DE"/>
        </w:rPr>
        <w:t xml:space="preserve">und 2025 </w:t>
      </w:r>
      <w:r w:rsidRPr="006E0101">
        <w:rPr>
          <w:rFonts w:ascii="CorpoS" w:hAnsi="CorpoS"/>
          <w:b/>
          <w:szCs w:val="24"/>
          <w:lang w:val="de-DE"/>
        </w:rPr>
        <w:t xml:space="preserve">anhaltendes </w:t>
      </w:r>
      <w:r w:rsidR="00F538AA" w:rsidRPr="006E0101">
        <w:rPr>
          <w:rFonts w:ascii="CorpoS" w:hAnsi="CorpoS"/>
          <w:b/>
          <w:szCs w:val="24"/>
          <w:lang w:val="de-DE"/>
        </w:rPr>
        <w:t>Umsatz- und Ergebnisw</w:t>
      </w:r>
      <w:r w:rsidRPr="006E0101">
        <w:rPr>
          <w:rFonts w:ascii="CorpoS" w:hAnsi="CorpoS"/>
          <w:b/>
          <w:szCs w:val="24"/>
          <w:lang w:val="de-DE"/>
        </w:rPr>
        <w:t>achstum</w:t>
      </w:r>
    </w:p>
    <w:p w:rsidR="00C51A14" w:rsidRPr="00F41734" w:rsidRDefault="00C51A14" w:rsidP="00C51A14">
      <w:pPr>
        <w:tabs>
          <w:tab w:val="left" w:pos="9072"/>
        </w:tabs>
        <w:spacing w:line="300" w:lineRule="exact"/>
        <w:ind w:right="283"/>
        <w:jc w:val="both"/>
        <w:rPr>
          <w:rFonts w:ascii="CorpoS" w:hAnsi="CorpoS"/>
          <w:b/>
          <w:color w:val="FF0000"/>
          <w:szCs w:val="24"/>
          <w:lang w:val="de-DE"/>
        </w:rPr>
      </w:pPr>
    </w:p>
    <w:p w:rsidR="005F7800" w:rsidRDefault="00F41734" w:rsidP="00C51A14">
      <w:pPr>
        <w:tabs>
          <w:tab w:val="left" w:pos="7655"/>
          <w:tab w:val="left" w:pos="9072"/>
        </w:tabs>
        <w:spacing w:line="300" w:lineRule="exact"/>
        <w:ind w:right="283"/>
        <w:jc w:val="both"/>
        <w:rPr>
          <w:rFonts w:ascii="CorpoS" w:hAnsi="CorpoS"/>
          <w:szCs w:val="24"/>
          <w:lang w:val="de-DE"/>
        </w:rPr>
      </w:pPr>
      <w:r w:rsidRPr="00DE2C99">
        <w:rPr>
          <w:rFonts w:ascii="CorpoS" w:hAnsi="CorpoS"/>
          <w:szCs w:val="24"/>
          <w:lang w:val="de-DE"/>
        </w:rPr>
        <w:t>London</w:t>
      </w:r>
      <w:r w:rsidR="00DD7223" w:rsidRPr="00DE2C99">
        <w:rPr>
          <w:rFonts w:ascii="CorpoS" w:hAnsi="CorpoS"/>
          <w:szCs w:val="24"/>
          <w:lang w:val="de-DE"/>
        </w:rPr>
        <w:t xml:space="preserve">, </w:t>
      </w:r>
      <w:r w:rsidR="003E78C5" w:rsidRPr="00DE2C99">
        <w:rPr>
          <w:rFonts w:ascii="CorpoS" w:hAnsi="CorpoS"/>
          <w:szCs w:val="24"/>
          <w:lang w:val="de-DE"/>
        </w:rPr>
        <w:t>1</w:t>
      </w:r>
      <w:r w:rsidRPr="00DE2C99">
        <w:rPr>
          <w:rFonts w:ascii="CorpoS" w:hAnsi="CorpoS"/>
          <w:szCs w:val="24"/>
          <w:lang w:val="de-DE"/>
        </w:rPr>
        <w:t>7</w:t>
      </w:r>
      <w:r w:rsidR="00C51A14" w:rsidRPr="00DE2C99">
        <w:rPr>
          <w:rFonts w:ascii="CorpoS" w:hAnsi="CorpoS"/>
          <w:szCs w:val="24"/>
          <w:lang w:val="de-DE"/>
        </w:rPr>
        <w:t xml:space="preserve">. </w:t>
      </w:r>
      <w:r w:rsidR="007A097C" w:rsidRPr="00DE2C99">
        <w:rPr>
          <w:rFonts w:ascii="CorpoS" w:hAnsi="CorpoS"/>
          <w:szCs w:val="24"/>
          <w:lang w:val="de-DE"/>
        </w:rPr>
        <w:t>November 20</w:t>
      </w:r>
      <w:r w:rsidRPr="00DE2C99">
        <w:rPr>
          <w:rFonts w:ascii="CorpoS" w:hAnsi="CorpoS"/>
          <w:szCs w:val="24"/>
          <w:lang w:val="de-DE"/>
        </w:rPr>
        <w:t>22</w:t>
      </w:r>
      <w:r w:rsidR="00C51A14" w:rsidRPr="00DE2C99">
        <w:rPr>
          <w:rFonts w:ascii="CorpoS" w:hAnsi="CorpoS"/>
          <w:szCs w:val="24"/>
          <w:lang w:val="de-DE"/>
        </w:rPr>
        <w:t xml:space="preserve"> – Die MTU </w:t>
      </w:r>
      <w:proofErr w:type="spellStart"/>
      <w:r w:rsidR="00C51A14" w:rsidRPr="00DE2C99">
        <w:rPr>
          <w:rFonts w:ascii="CorpoS" w:hAnsi="CorpoS"/>
          <w:szCs w:val="24"/>
          <w:lang w:val="de-DE"/>
        </w:rPr>
        <w:t>Aero</w:t>
      </w:r>
      <w:proofErr w:type="spellEnd"/>
      <w:r w:rsidR="00C51A14" w:rsidRPr="00DE2C99">
        <w:rPr>
          <w:rFonts w:ascii="CorpoS" w:hAnsi="CorpoS"/>
          <w:szCs w:val="24"/>
          <w:lang w:val="de-DE"/>
        </w:rPr>
        <w:t xml:space="preserve"> </w:t>
      </w:r>
      <w:proofErr w:type="spellStart"/>
      <w:r w:rsidR="00C51A14" w:rsidRPr="00DE2C99">
        <w:rPr>
          <w:rFonts w:ascii="CorpoS" w:hAnsi="CorpoS"/>
          <w:szCs w:val="24"/>
          <w:lang w:val="de-DE"/>
        </w:rPr>
        <w:t>Engines</w:t>
      </w:r>
      <w:proofErr w:type="spellEnd"/>
      <w:r w:rsidR="00C51A14" w:rsidRPr="00DE2C99">
        <w:rPr>
          <w:rFonts w:ascii="CorpoS" w:hAnsi="CorpoS"/>
          <w:szCs w:val="24"/>
          <w:lang w:val="de-DE"/>
        </w:rPr>
        <w:t xml:space="preserve"> AG hat </w:t>
      </w:r>
      <w:r w:rsidR="00E91EA6" w:rsidRPr="00DE2C99">
        <w:rPr>
          <w:rFonts w:ascii="CorpoS" w:hAnsi="CorpoS"/>
          <w:szCs w:val="24"/>
          <w:lang w:val="de-DE"/>
        </w:rPr>
        <w:t xml:space="preserve">auf ihrem </w:t>
      </w:r>
      <w:r w:rsidR="008A5A64" w:rsidRPr="00DE2C99">
        <w:rPr>
          <w:rFonts w:ascii="CorpoS" w:hAnsi="CorpoS"/>
          <w:szCs w:val="24"/>
          <w:lang w:val="de-DE"/>
        </w:rPr>
        <w:t>Kap</w:t>
      </w:r>
      <w:r w:rsidR="00CF00F1" w:rsidRPr="00DE2C99">
        <w:rPr>
          <w:rFonts w:ascii="CorpoS" w:hAnsi="CorpoS"/>
          <w:szCs w:val="24"/>
          <w:lang w:val="de-DE"/>
        </w:rPr>
        <w:t>italmarkttag</w:t>
      </w:r>
      <w:r w:rsidR="006E0101" w:rsidRPr="00DE2C99">
        <w:rPr>
          <w:rFonts w:ascii="CorpoS" w:hAnsi="CorpoS"/>
          <w:szCs w:val="24"/>
          <w:lang w:val="de-DE"/>
        </w:rPr>
        <w:t xml:space="preserve"> in London ihre Prognose für das Geschäftsjahr 2023 veröffentlicht und die Wachstumsaussichten für die Jahre 2024 und 2025 bestätigt. 2023</w:t>
      </w:r>
      <w:r w:rsidR="000B4D33" w:rsidRPr="00DE2C99">
        <w:rPr>
          <w:rFonts w:ascii="CorpoS" w:hAnsi="CorpoS"/>
          <w:szCs w:val="24"/>
          <w:lang w:val="de-DE"/>
        </w:rPr>
        <w:t xml:space="preserve"> </w:t>
      </w:r>
      <w:r w:rsidR="006E0101" w:rsidRPr="00DE2C99">
        <w:rPr>
          <w:rFonts w:ascii="CorpoS" w:hAnsi="CorpoS"/>
          <w:szCs w:val="24"/>
          <w:lang w:val="de-DE"/>
        </w:rPr>
        <w:t xml:space="preserve">erwartet das Unternehmen in allen Geschäftsbereichen organisches Wachstum. </w:t>
      </w:r>
      <w:r w:rsidR="00173DD3" w:rsidRPr="00DE2C99">
        <w:rPr>
          <w:rFonts w:ascii="CorpoS" w:hAnsi="CorpoS"/>
          <w:szCs w:val="24"/>
          <w:lang w:val="de-DE"/>
        </w:rPr>
        <w:t>Auch in den Folgejahren sind die Parameter für eine anhaltend positive Entwicklung intakt.</w:t>
      </w:r>
      <w:r w:rsidR="006253FC">
        <w:rPr>
          <w:rFonts w:ascii="CorpoS" w:hAnsi="CorpoS"/>
          <w:szCs w:val="24"/>
          <w:lang w:val="de-DE"/>
        </w:rPr>
        <w:t xml:space="preserve"> </w:t>
      </w:r>
      <w:r w:rsidR="001B1A7D" w:rsidRPr="00DE2C99">
        <w:rPr>
          <w:rFonts w:ascii="CorpoS" w:hAnsi="CorpoS"/>
          <w:szCs w:val="24"/>
          <w:lang w:val="de-DE"/>
        </w:rPr>
        <w:t>„</w:t>
      </w:r>
      <w:r w:rsidR="00173DD3" w:rsidRPr="00DE2C99">
        <w:rPr>
          <w:rFonts w:ascii="CorpoS" w:hAnsi="CorpoS"/>
          <w:szCs w:val="24"/>
          <w:lang w:val="de-DE"/>
        </w:rPr>
        <w:t xml:space="preserve">Das Wachstum, das wir für 2023 sehen, dürfte sich daher auch 2024 und 2025 </w:t>
      </w:r>
      <w:r w:rsidR="00372B3F" w:rsidRPr="00DE2C99">
        <w:rPr>
          <w:rFonts w:ascii="CorpoS" w:hAnsi="CorpoS"/>
          <w:szCs w:val="24"/>
          <w:lang w:val="de-DE"/>
        </w:rPr>
        <w:t>in</w:t>
      </w:r>
      <w:r w:rsidR="00173DD3" w:rsidRPr="00DE2C99">
        <w:rPr>
          <w:rFonts w:ascii="CorpoS" w:hAnsi="CorpoS"/>
          <w:szCs w:val="24"/>
          <w:lang w:val="de-DE"/>
        </w:rPr>
        <w:t xml:space="preserve"> steigenden Umsatz- und Ergebniswerte</w:t>
      </w:r>
      <w:r w:rsidR="00372B3F" w:rsidRPr="00DE2C99">
        <w:rPr>
          <w:rFonts w:ascii="CorpoS" w:hAnsi="CorpoS"/>
          <w:szCs w:val="24"/>
          <w:lang w:val="de-DE"/>
        </w:rPr>
        <w:t>n</w:t>
      </w:r>
      <w:r w:rsidR="00173DD3" w:rsidRPr="00DE2C99">
        <w:rPr>
          <w:rFonts w:ascii="CorpoS" w:hAnsi="CorpoS"/>
          <w:szCs w:val="24"/>
          <w:lang w:val="de-DE"/>
        </w:rPr>
        <w:t xml:space="preserve"> fortsetzen“, </w:t>
      </w:r>
      <w:r w:rsidR="00722873" w:rsidRPr="00DE2C99">
        <w:rPr>
          <w:rFonts w:ascii="CorpoS" w:hAnsi="CorpoS"/>
          <w:szCs w:val="24"/>
          <w:lang w:val="de-DE"/>
        </w:rPr>
        <w:t xml:space="preserve">sagte Reiner Winkler, Vorstandsvorsitzender der MTU </w:t>
      </w:r>
      <w:proofErr w:type="spellStart"/>
      <w:r w:rsidR="00722873" w:rsidRPr="00DE2C99">
        <w:rPr>
          <w:rFonts w:ascii="CorpoS" w:hAnsi="CorpoS"/>
          <w:szCs w:val="24"/>
          <w:lang w:val="de-DE"/>
        </w:rPr>
        <w:t>Aero</w:t>
      </w:r>
      <w:proofErr w:type="spellEnd"/>
      <w:r w:rsidR="00722873" w:rsidRPr="00DE2C99">
        <w:rPr>
          <w:rFonts w:ascii="CorpoS" w:hAnsi="CorpoS"/>
          <w:szCs w:val="24"/>
          <w:lang w:val="de-DE"/>
        </w:rPr>
        <w:t xml:space="preserve"> </w:t>
      </w:r>
      <w:proofErr w:type="spellStart"/>
      <w:r w:rsidR="00722873" w:rsidRPr="00DE2C99">
        <w:rPr>
          <w:rFonts w:ascii="CorpoS" w:hAnsi="CorpoS"/>
          <w:szCs w:val="24"/>
          <w:lang w:val="de-DE"/>
        </w:rPr>
        <w:t>Engines</w:t>
      </w:r>
      <w:proofErr w:type="spellEnd"/>
      <w:r w:rsidR="00722873" w:rsidRPr="00DE2C99">
        <w:rPr>
          <w:rFonts w:ascii="CorpoS" w:hAnsi="CorpoS"/>
          <w:szCs w:val="24"/>
          <w:lang w:val="de-DE"/>
        </w:rPr>
        <w:t xml:space="preserve"> AG. „</w:t>
      </w:r>
      <w:r w:rsidR="001D437B">
        <w:rPr>
          <w:rFonts w:ascii="CorpoS" w:hAnsi="CorpoS"/>
          <w:szCs w:val="24"/>
          <w:lang w:val="de-DE"/>
        </w:rPr>
        <w:t xml:space="preserve">Trotz der aktuellen Herausforderungen des Marktes </w:t>
      </w:r>
      <w:r w:rsidR="00583EE9" w:rsidRPr="00DE2C99">
        <w:rPr>
          <w:rFonts w:ascii="CorpoS" w:hAnsi="CorpoS"/>
          <w:szCs w:val="24"/>
          <w:lang w:val="de-DE"/>
        </w:rPr>
        <w:t xml:space="preserve">bleiben </w:t>
      </w:r>
      <w:r w:rsidR="001D437B">
        <w:rPr>
          <w:rFonts w:ascii="CorpoS" w:hAnsi="CorpoS"/>
          <w:szCs w:val="24"/>
          <w:lang w:val="de-DE"/>
        </w:rPr>
        <w:t xml:space="preserve">wir </w:t>
      </w:r>
      <w:r w:rsidR="00583EE9" w:rsidRPr="00DE2C99">
        <w:rPr>
          <w:rFonts w:ascii="CorpoS" w:hAnsi="CorpoS"/>
          <w:szCs w:val="24"/>
          <w:lang w:val="de-DE"/>
        </w:rPr>
        <w:t xml:space="preserve">damit auf dem erfolgreichen Wachstumskurs, den wir 2022 eingeschlagen haben und </w:t>
      </w:r>
      <w:r w:rsidR="00173DD3" w:rsidRPr="00DE2C99">
        <w:rPr>
          <w:rFonts w:ascii="CorpoS" w:hAnsi="CorpoS"/>
          <w:szCs w:val="24"/>
          <w:lang w:val="de-DE"/>
        </w:rPr>
        <w:t>den wir bereits im letzten Jahr in Aussicht gestellt hatten.“</w:t>
      </w:r>
      <w:r w:rsidR="0066163D" w:rsidRPr="00DE2C99">
        <w:rPr>
          <w:rFonts w:ascii="CorpoS" w:hAnsi="CorpoS"/>
          <w:szCs w:val="24"/>
          <w:lang w:val="de-DE"/>
        </w:rPr>
        <w:t xml:space="preserve"> </w:t>
      </w:r>
      <w:r w:rsidR="00224550" w:rsidRPr="00DE2C99">
        <w:rPr>
          <w:rFonts w:ascii="CorpoS" w:hAnsi="CorpoS"/>
          <w:szCs w:val="24"/>
          <w:lang w:val="de-DE"/>
        </w:rPr>
        <w:t>Finanzvorstand</w:t>
      </w:r>
      <w:r w:rsidR="00583EE9" w:rsidRPr="00DE2C99">
        <w:rPr>
          <w:rFonts w:ascii="CorpoS" w:hAnsi="CorpoS"/>
          <w:szCs w:val="24"/>
          <w:lang w:val="de-DE"/>
        </w:rPr>
        <w:t xml:space="preserve"> Peter </w:t>
      </w:r>
      <w:proofErr w:type="spellStart"/>
      <w:r w:rsidR="00583EE9" w:rsidRPr="00DE2C99">
        <w:rPr>
          <w:rFonts w:ascii="CorpoS" w:hAnsi="CorpoS"/>
          <w:szCs w:val="24"/>
          <w:lang w:val="de-DE"/>
        </w:rPr>
        <w:t>Kameritsch</w:t>
      </w:r>
      <w:proofErr w:type="spellEnd"/>
      <w:r w:rsidR="00583EE9" w:rsidRPr="00DE2C99">
        <w:rPr>
          <w:rFonts w:ascii="CorpoS" w:hAnsi="CorpoS"/>
          <w:szCs w:val="24"/>
          <w:lang w:val="de-DE"/>
        </w:rPr>
        <w:t xml:space="preserve"> konkretisierte den </w:t>
      </w:r>
      <w:r w:rsidR="00701CD1" w:rsidRPr="00DE2C99">
        <w:rPr>
          <w:rFonts w:ascii="CorpoS" w:hAnsi="CorpoS"/>
          <w:szCs w:val="24"/>
          <w:lang w:val="de-DE"/>
        </w:rPr>
        <w:t>Umsatz- und Ergebnisa</w:t>
      </w:r>
      <w:r w:rsidR="00583EE9" w:rsidRPr="00DE2C99">
        <w:rPr>
          <w:rFonts w:ascii="CorpoS" w:hAnsi="CorpoS"/>
          <w:szCs w:val="24"/>
          <w:lang w:val="de-DE"/>
        </w:rPr>
        <w:t>usblick</w:t>
      </w:r>
      <w:r w:rsidR="002718AC" w:rsidRPr="00DE2C99">
        <w:rPr>
          <w:rFonts w:ascii="CorpoS" w:hAnsi="CorpoS"/>
          <w:szCs w:val="24"/>
          <w:lang w:val="de-DE"/>
        </w:rPr>
        <w:t xml:space="preserve">: </w:t>
      </w:r>
      <w:r w:rsidR="00F5323E" w:rsidRPr="00DE2C99">
        <w:rPr>
          <w:rFonts w:ascii="CorpoS" w:hAnsi="CorpoS"/>
          <w:szCs w:val="24"/>
          <w:lang w:val="de-DE"/>
        </w:rPr>
        <w:t>„</w:t>
      </w:r>
      <w:r w:rsidR="00583EE9" w:rsidRPr="00DE2C99">
        <w:rPr>
          <w:rFonts w:ascii="CorpoS" w:hAnsi="CorpoS"/>
          <w:szCs w:val="24"/>
          <w:lang w:val="de-DE"/>
        </w:rPr>
        <w:t xml:space="preserve">2023 erwarten wir 6,4 bis 6,6 Milliarden Euro Umsatz und rechnen in der Folge mit kontinuierlich steigenden Umsatzwerten, die 2025 </w:t>
      </w:r>
      <w:r w:rsidR="00701CD1" w:rsidRPr="00DE2C99">
        <w:rPr>
          <w:rFonts w:ascii="CorpoS" w:hAnsi="CorpoS"/>
          <w:szCs w:val="24"/>
          <w:lang w:val="de-DE"/>
        </w:rPr>
        <w:t>rund acht Milliarden Euro erreichen dürften</w:t>
      </w:r>
      <w:r w:rsidR="00FC31C7" w:rsidRPr="00DE2C99">
        <w:rPr>
          <w:rFonts w:ascii="CorpoS" w:hAnsi="CorpoS"/>
          <w:szCs w:val="24"/>
          <w:lang w:val="de-DE"/>
        </w:rPr>
        <w:t>.</w:t>
      </w:r>
      <w:r w:rsidR="00583EE9" w:rsidRPr="00DE2C99">
        <w:rPr>
          <w:rFonts w:ascii="CorpoS" w:hAnsi="CorpoS"/>
          <w:szCs w:val="24"/>
          <w:lang w:val="de-DE"/>
        </w:rPr>
        <w:t xml:space="preserve"> </w:t>
      </w:r>
      <w:r w:rsidR="00FC31C7" w:rsidRPr="00DE2C99">
        <w:rPr>
          <w:rFonts w:ascii="CorpoS" w:hAnsi="CorpoS"/>
          <w:szCs w:val="24"/>
          <w:lang w:val="de-DE"/>
        </w:rPr>
        <w:t>Das bereinigte EBIT dürfte 202</w:t>
      </w:r>
      <w:r w:rsidR="00583EE9" w:rsidRPr="00DE2C99">
        <w:rPr>
          <w:rFonts w:ascii="CorpoS" w:hAnsi="CorpoS"/>
          <w:szCs w:val="24"/>
          <w:lang w:val="de-DE"/>
        </w:rPr>
        <w:t>3</w:t>
      </w:r>
      <w:r w:rsidR="00FC31C7" w:rsidRPr="00DE2C99">
        <w:rPr>
          <w:rFonts w:ascii="CorpoS" w:hAnsi="CorpoS"/>
          <w:szCs w:val="24"/>
          <w:lang w:val="de-DE"/>
        </w:rPr>
        <w:t xml:space="preserve"> im </w:t>
      </w:r>
      <w:r w:rsidR="00574868">
        <w:rPr>
          <w:rFonts w:ascii="CorpoS" w:hAnsi="CorpoS"/>
          <w:szCs w:val="24"/>
          <w:lang w:val="de-DE"/>
        </w:rPr>
        <w:t>niedrigen</w:t>
      </w:r>
      <w:r w:rsidR="00FC31C7" w:rsidRPr="00DE2C99">
        <w:rPr>
          <w:rFonts w:ascii="CorpoS" w:hAnsi="CorpoS"/>
          <w:szCs w:val="24"/>
          <w:lang w:val="de-DE"/>
        </w:rPr>
        <w:t xml:space="preserve"> Zwanziger-Prozentbereich zunehmen</w:t>
      </w:r>
      <w:r w:rsidR="00583EE9" w:rsidRPr="00DE2C99">
        <w:rPr>
          <w:rFonts w:ascii="CorpoS" w:hAnsi="CorpoS"/>
          <w:szCs w:val="24"/>
          <w:lang w:val="de-DE"/>
        </w:rPr>
        <w:t xml:space="preserve"> und auch in den Folgejahren weiter steigen.</w:t>
      </w:r>
      <w:r w:rsidR="00701CD1" w:rsidRPr="00DE2C99">
        <w:rPr>
          <w:rFonts w:ascii="CorpoS" w:hAnsi="CorpoS"/>
          <w:szCs w:val="24"/>
          <w:lang w:val="de-DE"/>
        </w:rPr>
        <w:t xml:space="preserve"> 2024 dürfte </w:t>
      </w:r>
      <w:r w:rsidR="00827E3C" w:rsidRPr="00DE2C99">
        <w:rPr>
          <w:rFonts w:ascii="CorpoS" w:hAnsi="CorpoS"/>
          <w:szCs w:val="24"/>
          <w:lang w:val="de-DE"/>
        </w:rPr>
        <w:t>das</w:t>
      </w:r>
      <w:r w:rsidR="00701CD1" w:rsidRPr="00DE2C99">
        <w:rPr>
          <w:rFonts w:ascii="CorpoS" w:hAnsi="CorpoS"/>
          <w:szCs w:val="24"/>
          <w:lang w:val="de-DE"/>
        </w:rPr>
        <w:t xml:space="preserve"> Ergebnis </w:t>
      </w:r>
      <w:r w:rsidR="00827E3C" w:rsidRPr="00DE2C99">
        <w:rPr>
          <w:rFonts w:ascii="CorpoS" w:hAnsi="CorpoS"/>
          <w:szCs w:val="24"/>
          <w:lang w:val="de-DE"/>
        </w:rPr>
        <w:t>wieder über dem Wert aus dem V</w:t>
      </w:r>
      <w:r w:rsidR="00701CD1" w:rsidRPr="00DE2C99">
        <w:rPr>
          <w:rFonts w:ascii="CorpoS" w:hAnsi="CorpoS"/>
          <w:szCs w:val="24"/>
          <w:lang w:val="de-DE"/>
        </w:rPr>
        <w:t>orkrisenjahr 2019</w:t>
      </w:r>
      <w:r w:rsidR="00827E3C" w:rsidRPr="00DE2C99">
        <w:rPr>
          <w:rFonts w:ascii="CorpoS" w:hAnsi="CorpoS"/>
          <w:szCs w:val="24"/>
          <w:lang w:val="de-DE"/>
        </w:rPr>
        <w:t xml:space="preserve"> liegen</w:t>
      </w:r>
      <w:r w:rsidR="00701CD1" w:rsidRPr="00DE2C99">
        <w:rPr>
          <w:rFonts w:ascii="CorpoS" w:hAnsi="CorpoS"/>
          <w:szCs w:val="24"/>
          <w:lang w:val="de-DE"/>
        </w:rPr>
        <w:t xml:space="preserve"> und 2025 die Milliardengrenze erreichen.“</w:t>
      </w:r>
      <w:r w:rsidR="00BF3BDF">
        <w:rPr>
          <w:rFonts w:ascii="CorpoS" w:hAnsi="CorpoS"/>
          <w:szCs w:val="24"/>
          <w:lang w:val="de-DE"/>
        </w:rPr>
        <w:t xml:space="preserve"> </w:t>
      </w:r>
      <w:r w:rsidR="00AF148F" w:rsidRPr="00F966F3">
        <w:rPr>
          <w:rFonts w:ascii="CorpoS" w:hAnsi="CorpoS"/>
          <w:szCs w:val="24"/>
          <w:lang w:val="de-DE"/>
        </w:rPr>
        <w:t>Die Prognose</w:t>
      </w:r>
      <w:r w:rsidR="00BF3BDF" w:rsidRPr="00F966F3">
        <w:rPr>
          <w:rFonts w:ascii="CorpoS" w:hAnsi="CorpoS"/>
          <w:szCs w:val="24"/>
          <w:lang w:val="de-DE"/>
        </w:rPr>
        <w:t xml:space="preserve"> basier</w:t>
      </w:r>
      <w:r w:rsidR="00BB1126" w:rsidRPr="00F966F3">
        <w:rPr>
          <w:rFonts w:ascii="CorpoS" w:hAnsi="CorpoS"/>
          <w:szCs w:val="24"/>
          <w:lang w:val="de-DE"/>
        </w:rPr>
        <w:t>t</w:t>
      </w:r>
      <w:r w:rsidR="00BF3BDF" w:rsidRPr="00F966F3">
        <w:rPr>
          <w:rFonts w:ascii="CorpoS" w:hAnsi="CorpoS"/>
          <w:szCs w:val="24"/>
          <w:lang w:val="de-DE"/>
        </w:rPr>
        <w:t xml:space="preserve"> auf dem derzeitigen, etwa paritätischen US-Dollar-Euro-Wechselkursverhältnis.</w:t>
      </w:r>
    </w:p>
    <w:p w:rsidR="00C83AE4" w:rsidRPr="00DE2C99" w:rsidRDefault="00C83AE4" w:rsidP="00C51A14">
      <w:pPr>
        <w:tabs>
          <w:tab w:val="left" w:pos="7655"/>
          <w:tab w:val="left" w:pos="9072"/>
        </w:tabs>
        <w:spacing w:line="300" w:lineRule="exact"/>
        <w:ind w:right="283"/>
        <w:jc w:val="both"/>
        <w:rPr>
          <w:rFonts w:ascii="CorpoS" w:hAnsi="CorpoS"/>
          <w:szCs w:val="24"/>
          <w:lang w:val="de-DE"/>
        </w:rPr>
      </w:pPr>
    </w:p>
    <w:p w:rsidR="005E762C" w:rsidRPr="00917308" w:rsidRDefault="00701CD1" w:rsidP="00917308">
      <w:pPr>
        <w:ind w:right="283"/>
        <w:jc w:val="both"/>
        <w:rPr>
          <w:rFonts w:ascii="CorpoS" w:hAnsi="CorpoS"/>
          <w:szCs w:val="24"/>
          <w:lang w:val="de-DE"/>
        </w:rPr>
      </w:pPr>
      <w:r w:rsidRPr="00DE2C99">
        <w:rPr>
          <w:rFonts w:ascii="CorpoS" w:hAnsi="CorpoS"/>
          <w:szCs w:val="24"/>
          <w:lang w:val="de-DE"/>
        </w:rPr>
        <w:t xml:space="preserve">Am </w:t>
      </w:r>
      <w:r w:rsidR="00DE2C99" w:rsidRPr="00DE2C99">
        <w:rPr>
          <w:rFonts w:ascii="CorpoS" w:hAnsi="CorpoS"/>
          <w:szCs w:val="24"/>
          <w:lang w:val="de-DE"/>
        </w:rPr>
        <w:t>stärksten</w:t>
      </w:r>
      <w:r w:rsidRPr="00DE2C99">
        <w:rPr>
          <w:rFonts w:ascii="CorpoS" w:hAnsi="CorpoS"/>
          <w:szCs w:val="24"/>
          <w:lang w:val="de-DE"/>
        </w:rPr>
        <w:t xml:space="preserve"> dürfte </w:t>
      </w:r>
      <w:r w:rsidR="00506AE0" w:rsidRPr="00DE2C99">
        <w:rPr>
          <w:rFonts w:ascii="CorpoS" w:hAnsi="CorpoS"/>
          <w:szCs w:val="24"/>
          <w:lang w:val="de-DE"/>
        </w:rPr>
        <w:t xml:space="preserve">das </w:t>
      </w:r>
      <w:r w:rsidR="00DE2C99" w:rsidRPr="00DE2C99">
        <w:rPr>
          <w:rFonts w:ascii="CorpoS" w:hAnsi="CorpoS"/>
          <w:szCs w:val="24"/>
          <w:lang w:val="de-DE"/>
        </w:rPr>
        <w:t>Umsatzwachstum 2023 im zivilen Seriengeschäft sein: Die MTU rechnet mit einem organischen Umsatzplus von rund 30 Prozent.</w:t>
      </w:r>
      <w:r w:rsidR="005E762C">
        <w:rPr>
          <w:rFonts w:ascii="CorpoS" w:hAnsi="CorpoS"/>
          <w:szCs w:val="24"/>
          <w:lang w:val="de-DE"/>
        </w:rPr>
        <w:t xml:space="preserve"> </w:t>
      </w:r>
      <w:r w:rsidR="00EC4D32">
        <w:rPr>
          <w:rFonts w:ascii="CorpoS" w:hAnsi="CorpoS"/>
          <w:szCs w:val="24"/>
          <w:lang w:val="de-DE"/>
        </w:rPr>
        <w:t xml:space="preserve">„Die Produktionsvolumina der A320neo-Antriebe und der </w:t>
      </w:r>
      <w:r w:rsidR="00CF037C">
        <w:rPr>
          <w:rFonts w:ascii="CorpoS" w:hAnsi="CorpoS"/>
          <w:szCs w:val="24"/>
          <w:lang w:val="de-DE"/>
        </w:rPr>
        <w:t>Triebwerke</w:t>
      </w:r>
      <w:r w:rsidR="00EC4D32">
        <w:rPr>
          <w:rFonts w:ascii="CorpoS" w:hAnsi="CorpoS"/>
          <w:szCs w:val="24"/>
          <w:lang w:val="de-DE"/>
        </w:rPr>
        <w:t xml:space="preserve"> für Regionalflugzeuge dürften deutlich </w:t>
      </w:r>
      <w:r w:rsidR="00CF037C">
        <w:rPr>
          <w:rFonts w:ascii="CorpoS" w:hAnsi="CorpoS"/>
          <w:szCs w:val="24"/>
          <w:lang w:val="de-DE"/>
        </w:rPr>
        <w:t>zunehmen</w:t>
      </w:r>
      <w:r w:rsidR="00EC4D32">
        <w:rPr>
          <w:rFonts w:ascii="CorpoS" w:hAnsi="CorpoS"/>
          <w:szCs w:val="24"/>
          <w:lang w:val="de-DE"/>
        </w:rPr>
        <w:t xml:space="preserve">, ebenso die Produktion von </w:t>
      </w:r>
      <w:r w:rsidR="00CF037C">
        <w:rPr>
          <w:rFonts w:ascii="CorpoS" w:hAnsi="CorpoS"/>
          <w:szCs w:val="24"/>
          <w:lang w:val="de-DE"/>
        </w:rPr>
        <w:t>Antrieben</w:t>
      </w:r>
      <w:r w:rsidR="00EC4D32">
        <w:rPr>
          <w:rFonts w:ascii="CorpoS" w:hAnsi="CorpoS"/>
          <w:szCs w:val="24"/>
          <w:lang w:val="de-DE"/>
        </w:rPr>
        <w:t xml:space="preserve"> für Business Jets. Auch die Produktion von </w:t>
      </w:r>
      <w:proofErr w:type="spellStart"/>
      <w:r w:rsidR="00EC4D32">
        <w:rPr>
          <w:rFonts w:ascii="CorpoS" w:hAnsi="CorpoS"/>
          <w:szCs w:val="24"/>
          <w:lang w:val="de-DE"/>
        </w:rPr>
        <w:t>Widebody</w:t>
      </w:r>
      <w:proofErr w:type="spellEnd"/>
      <w:r w:rsidR="00EC4D32">
        <w:rPr>
          <w:rFonts w:ascii="CorpoS" w:hAnsi="CorpoS"/>
          <w:szCs w:val="24"/>
          <w:lang w:val="de-DE"/>
        </w:rPr>
        <w:t xml:space="preserve">-Triebwerken dürfte langsam wieder </w:t>
      </w:r>
      <w:r w:rsidR="00CF037C">
        <w:rPr>
          <w:rFonts w:ascii="CorpoS" w:hAnsi="CorpoS"/>
          <w:szCs w:val="24"/>
          <w:lang w:val="de-DE"/>
        </w:rPr>
        <w:t>anziehen</w:t>
      </w:r>
      <w:r w:rsidR="00EC4D32">
        <w:rPr>
          <w:rFonts w:ascii="CorpoS" w:hAnsi="CorpoS"/>
          <w:szCs w:val="24"/>
          <w:lang w:val="de-DE"/>
        </w:rPr>
        <w:t xml:space="preserve">“, so </w:t>
      </w:r>
      <w:r w:rsidR="001D437B">
        <w:rPr>
          <w:rFonts w:ascii="CorpoS" w:hAnsi="CorpoS"/>
          <w:szCs w:val="24"/>
          <w:lang w:val="de-DE"/>
        </w:rPr>
        <w:t xml:space="preserve">Programm-Vorstand Michael </w:t>
      </w:r>
      <w:r w:rsidR="00EC4D32">
        <w:rPr>
          <w:rFonts w:ascii="CorpoS" w:hAnsi="CorpoS"/>
          <w:szCs w:val="24"/>
          <w:lang w:val="de-DE"/>
        </w:rPr>
        <w:t xml:space="preserve">Schreyögg. </w:t>
      </w:r>
      <w:r w:rsidR="005519BB">
        <w:rPr>
          <w:rFonts w:ascii="CorpoS" w:hAnsi="CorpoS"/>
          <w:szCs w:val="24"/>
          <w:lang w:val="de-DE"/>
        </w:rPr>
        <w:br w:type="textWrapping" w:clear="all"/>
      </w:r>
      <w:r w:rsidR="00CF037C">
        <w:rPr>
          <w:rFonts w:ascii="CorpoS" w:hAnsi="CorpoS"/>
          <w:szCs w:val="24"/>
          <w:lang w:val="de-DE"/>
        </w:rPr>
        <w:t xml:space="preserve">„Insgesamt dürfte die Triebwerksflotte mit MTU-Beteiligung bis zum Jahr 2030 um jährlich 6,1 Prozent wachsen. Das eröffnet uns hervorragende </w:t>
      </w:r>
      <w:r w:rsidR="007E1CA8">
        <w:rPr>
          <w:rFonts w:ascii="CorpoS" w:hAnsi="CorpoS"/>
          <w:szCs w:val="24"/>
          <w:lang w:val="de-DE"/>
        </w:rPr>
        <w:t>Perspektiven</w:t>
      </w:r>
      <w:r w:rsidR="00CF037C">
        <w:rPr>
          <w:rFonts w:ascii="CorpoS" w:hAnsi="CorpoS"/>
          <w:szCs w:val="24"/>
          <w:lang w:val="de-DE"/>
        </w:rPr>
        <w:t xml:space="preserve">.“ Technik-Vorstand Lars </w:t>
      </w:r>
      <w:r w:rsidR="005519BB">
        <w:rPr>
          <w:rFonts w:ascii="CorpoS" w:hAnsi="CorpoS"/>
          <w:szCs w:val="24"/>
          <w:lang w:val="de-DE"/>
        </w:rPr>
        <w:br w:type="textWrapping" w:clear="all"/>
      </w:r>
      <w:r w:rsidR="00CF037C">
        <w:rPr>
          <w:rFonts w:ascii="CorpoS" w:hAnsi="CorpoS"/>
          <w:szCs w:val="24"/>
          <w:lang w:val="de-DE"/>
        </w:rPr>
        <w:t>Wagner ergänzte: „</w:t>
      </w:r>
      <w:r w:rsidR="00402971">
        <w:rPr>
          <w:rFonts w:ascii="CorpoS" w:hAnsi="CorpoS"/>
          <w:szCs w:val="24"/>
          <w:lang w:val="de-DE"/>
        </w:rPr>
        <w:t xml:space="preserve">Beim </w:t>
      </w:r>
      <w:r w:rsidR="00CF037C">
        <w:rPr>
          <w:rFonts w:ascii="CorpoS" w:hAnsi="CorpoS"/>
          <w:szCs w:val="24"/>
          <w:lang w:val="de-DE"/>
        </w:rPr>
        <w:t xml:space="preserve">Produktionshochlauf </w:t>
      </w:r>
      <w:r w:rsidR="00402971">
        <w:rPr>
          <w:rFonts w:ascii="CorpoS" w:hAnsi="CorpoS"/>
          <w:szCs w:val="24"/>
          <w:lang w:val="de-DE"/>
        </w:rPr>
        <w:t xml:space="preserve">haben wir die gesamte Wertschöpfungskette im Blick. Die Rohmaterialversorgung sichern wir durch langfristige Verträge ab, außerdem haben wir eine </w:t>
      </w:r>
      <w:r w:rsidR="00402971" w:rsidRPr="00F966F3">
        <w:rPr>
          <w:rFonts w:ascii="CorpoS" w:hAnsi="CorpoS"/>
          <w:szCs w:val="24"/>
          <w:lang w:val="de-DE"/>
        </w:rPr>
        <w:t xml:space="preserve">nachhaltige Kreislaufwirtschaft eingeführt. </w:t>
      </w:r>
      <w:r w:rsidR="00F966F3" w:rsidRPr="00F966F3">
        <w:rPr>
          <w:rFonts w:ascii="CorpoS" w:hAnsi="CorpoS"/>
          <w:szCs w:val="24"/>
          <w:lang w:val="de-DE"/>
        </w:rPr>
        <w:t xml:space="preserve">Bei unseren Zulieferern setzen wir auf Langfristigkeit, enge Zusammenarbeit und die Qualifizierung mehrerer Quellen. </w:t>
      </w:r>
      <w:r w:rsidR="00BD2C0A" w:rsidRPr="00917308">
        <w:rPr>
          <w:rFonts w:ascii="CorpoS" w:hAnsi="CorpoS"/>
          <w:szCs w:val="24"/>
          <w:lang w:val="de-DE"/>
        </w:rPr>
        <w:t xml:space="preserve">Wir haben die </w:t>
      </w:r>
      <w:r w:rsidR="005519BB">
        <w:rPr>
          <w:rFonts w:ascii="CorpoS" w:hAnsi="CorpoS"/>
          <w:szCs w:val="24"/>
          <w:lang w:val="de-DE"/>
        </w:rPr>
        <w:br w:type="textWrapping" w:clear="all"/>
      </w:r>
      <w:bookmarkStart w:id="0" w:name="_GoBack"/>
      <w:bookmarkEnd w:id="0"/>
      <w:r w:rsidR="00BD2C0A" w:rsidRPr="00917308">
        <w:rPr>
          <w:rFonts w:ascii="CorpoS" w:hAnsi="CorpoS"/>
          <w:szCs w:val="24"/>
          <w:lang w:val="de-DE"/>
        </w:rPr>
        <w:t>Produktion noch stärker automatisiert und digitalisiert und unsere Best-</w:t>
      </w:r>
      <w:proofErr w:type="spellStart"/>
      <w:r w:rsidR="00BD2C0A" w:rsidRPr="00917308">
        <w:rPr>
          <w:rFonts w:ascii="CorpoS" w:hAnsi="CorpoS"/>
          <w:szCs w:val="24"/>
          <w:lang w:val="de-DE"/>
        </w:rPr>
        <w:t>Cost</w:t>
      </w:r>
      <w:proofErr w:type="spellEnd"/>
      <w:r w:rsidR="00BD2C0A" w:rsidRPr="00917308">
        <w:rPr>
          <w:rFonts w:ascii="CorpoS" w:hAnsi="CorpoS"/>
          <w:szCs w:val="24"/>
          <w:lang w:val="de-DE"/>
        </w:rPr>
        <w:t xml:space="preserve">-Strategie konsequent umgesetzt. Unsere neue Matrix-Organisation ist hoch skalierbar. Gepaart mit hoher Transparenz gegenüber dem Kunden und eng abgestimmten Vorlaufzeiten ist sie der Schlüssel für einen erfolgreichen </w:t>
      </w:r>
      <w:proofErr w:type="spellStart"/>
      <w:r w:rsidR="00BD2C0A" w:rsidRPr="00917308">
        <w:rPr>
          <w:rFonts w:ascii="CorpoS" w:hAnsi="CorpoS"/>
          <w:szCs w:val="24"/>
          <w:lang w:val="de-DE"/>
        </w:rPr>
        <w:t>Hochlauf</w:t>
      </w:r>
      <w:proofErr w:type="spellEnd"/>
      <w:r w:rsidR="00BD2C0A" w:rsidRPr="00917308">
        <w:rPr>
          <w:rFonts w:ascii="CorpoS" w:hAnsi="CorpoS"/>
          <w:szCs w:val="24"/>
          <w:lang w:val="de-DE"/>
        </w:rPr>
        <w:t>.“</w:t>
      </w:r>
    </w:p>
    <w:p w:rsidR="00BD2C0A" w:rsidRDefault="00BD2C0A" w:rsidP="00BD2C0A">
      <w:pPr>
        <w:rPr>
          <w:rFonts w:ascii="CorpoS" w:hAnsi="CorpoS"/>
          <w:color w:val="FF0000"/>
          <w:szCs w:val="24"/>
          <w:lang w:val="de-DE"/>
        </w:rPr>
      </w:pPr>
    </w:p>
    <w:p w:rsidR="005E762C" w:rsidRPr="009C3C0D" w:rsidRDefault="005E762C" w:rsidP="005E762C">
      <w:pPr>
        <w:tabs>
          <w:tab w:val="left" w:pos="7655"/>
          <w:tab w:val="left" w:pos="9072"/>
        </w:tabs>
        <w:spacing w:line="300" w:lineRule="exact"/>
        <w:ind w:right="283"/>
        <w:jc w:val="both"/>
        <w:rPr>
          <w:rFonts w:ascii="CorpoS" w:hAnsi="CorpoS"/>
          <w:szCs w:val="24"/>
          <w:lang w:val="de-DE"/>
        </w:rPr>
      </w:pPr>
      <w:r w:rsidRPr="009C3C0D">
        <w:rPr>
          <w:rFonts w:ascii="CorpoS" w:hAnsi="CorpoS"/>
          <w:szCs w:val="24"/>
          <w:lang w:val="de-DE"/>
        </w:rPr>
        <w:lastRenderedPageBreak/>
        <w:t>Der organische Umsatz des Ersatzteilgeschäfts dürfte 2023 im hohen Zehner- bis niedrigen Zwanziger-Prozentbereich zunehmen</w:t>
      </w:r>
      <w:r w:rsidR="005D4D3E" w:rsidRPr="009C3C0D">
        <w:rPr>
          <w:rFonts w:ascii="CorpoS" w:hAnsi="CorpoS"/>
          <w:szCs w:val="24"/>
          <w:lang w:val="de-DE"/>
        </w:rPr>
        <w:t>. Gestützt</w:t>
      </w:r>
      <w:r w:rsidRPr="009C3C0D">
        <w:rPr>
          <w:rFonts w:ascii="CorpoS" w:hAnsi="CorpoS"/>
          <w:szCs w:val="24"/>
          <w:lang w:val="de-DE"/>
        </w:rPr>
        <w:t xml:space="preserve"> </w:t>
      </w:r>
      <w:r w:rsidR="005D4D3E" w:rsidRPr="009C3C0D">
        <w:rPr>
          <w:rFonts w:ascii="CorpoS" w:hAnsi="CorpoS"/>
          <w:szCs w:val="24"/>
          <w:lang w:val="de-DE"/>
        </w:rPr>
        <w:t xml:space="preserve">wird das Wachstum insbesondere von </w:t>
      </w:r>
      <w:r w:rsidR="009C3C0D" w:rsidRPr="009C3C0D">
        <w:rPr>
          <w:rFonts w:ascii="CorpoS" w:hAnsi="CorpoS"/>
          <w:szCs w:val="24"/>
          <w:lang w:val="de-DE"/>
        </w:rPr>
        <w:t>Triebwerken</w:t>
      </w:r>
      <w:r w:rsidR="005D4D3E" w:rsidRPr="009C3C0D">
        <w:rPr>
          <w:rFonts w:ascii="CorpoS" w:hAnsi="CorpoS"/>
          <w:szCs w:val="24"/>
          <w:lang w:val="de-DE"/>
        </w:rPr>
        <w:t xml:space="preserve"> für Regional- und </w:t>
      </w:r>
      <w:proofErr w:type="spellStart"/>
      <w:r w:rsidR="005D4D3E" w:rsidRPr="009C3C0D">
        <w:rPr>
          <w:rFonts w:ascii="CorpoS" w:hAnsi="CorpoS"/>
          <w:szCs w:val="24"/>
          <w:lang w:val="de-DE"/>
        </w:rPr>
        <w:t>Narrowbody</w:t>
      </w:r>
      <w:proofErr w:type="spellEnd"/>
      <w:r w:rsidR="005D4D3E" w:rsidRPr="009C3C0D">
        <w:rPr>
          <w:rFonts w:ascii="CorpoS" w:hAnsi="CorpoS"/>
          <w:szCs w:val="24"/>
          <w:lang w:val="de-DE"/>
        </w:rPr>
        <w:t>-Flugzeuge, allen voran das</w:t>
      </w:r>
      <w:r w:rsidRPr="009C3C0D">
        <w:rPr>
          <w:rFonts w:ascii="CorpoS" w:hAnsi="CorpoS"/>
          <w:szCs w:val="24"/>
          <w:lang w:val="de-DE"/>
        </w:rPr>
        <w:t xml:space="preserve"> V2500 für die klassische A320-Familie und </w:t>
      </w:r>
      <w:r w:rsidR="005D4D3E" w:rsidRPr="009C3C0D">
        <w:rPr>
          <w:rFonts w:ascii="CorpoS" w:hAnsi="CorpoS"/>
          <w:szCs w:val="24"/>
          <w:lang w:val="de-DE"/>
        </w:rPr>
        <w:t>das PW1100G-JM</w:t>
      </w:r>
      <w:r w:rsidRPr="009C3C0D">
        <w:rPr>
          <w:rFonts w:ascii="CorpoS" w:hAnsi="CorpoS"/>
          <w:szCs w:val="24"/>
          <w:lang w:val="de-DE"/>
        </w:rPr>
        <w:t xml:space="preserve"> für die A320neo. </w:t>
      </w:r>
      <w:r w:rsidR="009C3C0D" w:rsidRPr="009C3C0D">
        <w:rPr>
          <w:rFonts w:ascii="CorpoS" w:hAnsi="CorpoS"/>
          <w:szCs w:val="24"/>
          <w:lang w:val="de-DE"/>
        </w:rPr>
        <w:t>Z</w:t>
      </w:r>
      <w:r w:rsidR="005D4D3E" w:rsidRPr="009C3C0D">
        <w:rPr>
          <w:rFonts w:ascii="CorpoS" w:hAnsi="CorpoS"/>
          <w:szCs w:val="24"/>
          <w:lang w:val="de-DE"/>
        </w:rPr>
        <w:t>unehmen dürfte auch de</w:t>
      </w:r>
      <w:r w:rsidR="009C3C0D" w:rsidRPr="009C3C0D">
        <w:rPr>
          <w:rFonts w:ascii="CorpoS" w:hAnsi="CorpoS"/>
          <w:szCs w:val="24"/>
          <w:lang w:val="de-DE"/>
        </w:rPr>
        <w:t xml:space="preserve">r Anteil der </w:t>
      </w:r>
      <w:proofErr w:type="spellStart"/>
      <w:r w:rsidR="009C3C0D" w:rsidRPr="009C3C0D">
        <w:rPr>
          <w:rFonts w:ascii="CorpoS" w:hAnsi="CorpoS"/>
          <w:szCs w:val="24"/>
          <w:lang w:val="de-DE"/>
        </w:rPr>
        <w:t>Widebody</w:t>
      </w:r>
      <w:proofErr w:type="spellEnd"/>
      <w:r w:rsidR="009C3C0D" w:rsidRPr="009C3C0D">
        <w:rPr>
          <w:rFonts w:ascii="CorpoS" w:hAnsi="CorpoS"/>
          <w:szCs w:val="24"/>
          <w:lang w:val="de-DE"/>
        </w:rPr>
        <w:t xml:space="preserve">-Antriebe. Einen anhaltend hohen Beitrag zum </w:t>
      </w:r>
      <w:proofErr w:type="spellStart"/>
      <w:r w:rsidR="009C3C0D" w:rsidRPr="009C3C0D">
        <w:rPr>
          <w:rFonts w:ascii="CorpoS" w:hAnsi="CorpoS"/>
          <w:szCs w:val="24"/>
          <w:lang w:val="de-DE"/>
        </w:rPr>
        <w:t>Aftermarket</w:t>
      </w:r>
      <w:proofErr w:type="spellEnd"/>
      <w:r w:rsidR="009C3C0D" w:rsidRPr="009C3C0D">
        <w:rPr>
          <w:rFonts w:ascii="CorpoS" w:hAnsi="CorpoS"/>
          <w:szCs w:val="24"/>
          <w:lang w:val="de-DE"/>
        </w:rPr>
        <w:t>-Geschäft leisten</w:t>
      </w:r>
      <w:r w:rsidR="00F376F2">
        <w:rPr>
          <w:rFonts w:ascii="CorpoS" w:hAnsi="CorpoS"/>
          <w:szCs w:val="24"/>
          <w:lang w:val="de-DE"/>
        </w:rPr>
        <w:t xml:space="preserve"> </w:t>
      </w:r>
      <w:r w:rsidR="009C3C0D" w:rsidRPr="009C3C0D">
        <w:rPr>
          <w:rFonts w:ascii="CorpoS" w:hAnsi="CorpoS"/>
          <w:szCs w:val="24"/>
          <w:lang w:val="de-DE"/>
        </w:rPr>
        <w:t>Triebwerke für Frachtflugzeuge.</w:t>
      </w:r>
    </w:p>
    <w:p w:rsidR="005E762C" w:rsidRPr="009C3C0D" w:rsidRDefault="005E762C" w:rsidP="00E35063">
      <w:pPr>
        <w:tabs>
          <w:tab w:val="left" w:pos="7655"/>
          <w:tab w:val="left" w:pos="7938"/>
        </w:tabs>
        <w:spacing w:line="300" w:lineRule="exact"/>
        <w:ind w:right="283"/>
        <w:jc w:val="both"/>
        <w:rPr>
          <w:rFonts w:ascii="CorpoS" w:hAnsi="CorpoS"/>
          <w:szCs w:val="24"/>
          <w:lang w:val="de-DE"/>
        </w:rPr>
      </w:pPr>
    </w:p>
    <w:p w:rsidR="002864DF" w:rsidRDefault="005E762C" w:rsidP="005E762C">
      <w:pPr>
        <w:tabs>
          <w:tab w:val="left" w:pos="7655"/>
          <w:tab w:val="left" w:pos="7938"/>
        </w:tabs>
        <w:spacing w:line="300" w:lineRule="exact"/>
        <w:ind w:right="283"/>
        <w:jc w:val="both"/>
        <w:rPr>
          <w:rFonts w:ascii="CorpoS" w:hAnsi="CorpoS"/>
          <w:color w:val="FF0000"/>
          <w:szCs w:val="24"/>
          <w:lang w:val="de-DE"/>
        </w:rPr>
      </w:pPr>
      <w:r>
        <w:rPr>
          <w:rFonts w:ascii="CorpoS" w:hAnsi="CorpoS"/>
          <w:szCs w:val="24"/>
          <w:lang w:val="de-DE"/>
        </w:rPr>
        <w:t xml:space="preserve">In der zivilen Instandhaltung erwartet die MTU 2023 ein organisches Umsatzplus im hohen Zehner-Prozentbereich. </w:t>
      </w:r>
      <w:r w:rsidR="00B03ED1">
        <w:rPr>
          <w:rFonts w:ascii="CorpoS" w:hAnsi="CorpoS"/>
          <w:szCs w:val="24"/>
          <w:lang w:val="de-DE"/>
        </w:rPr>
        <w:t xml:space="preserve">„Wir sehen </w:t>
      </w:r>
      <w:r w:rsidR="00E95B32">
        <w:rPr>
          <w:rFonts w:ascii="CorpoS" w:hAnsi="CorpoS"/>
          <w:szCs w:val="24"/>
          <w:lang w:val="de-DE"/>
        </w:rPr>
        <w:t>in der MRO</w:t>
      </w:r>
      <w:r w:rsidR="00B03ED1">
        <w:rPr>
          <w:rFonts w:ascii="CorpoS" w:hAnsi="CorpoS"/>
          <w:szCs w:val="24"/>
          <w:lang w:val="de-DE"/>
        </w:rPr>
        <w:t xml:space="preserve"> einen starken Nachholbedarf</w:t>
      </w:r>
      <w:r w:rsidR="00E95B32">
        <w:rPr>
          <w:rFonts w:ascii="CorpoS" w:hAnsi="CorpoS"/>
          <w:szCs w:val="24"/>
          <w:lang w:val="de-DE"/>
        </w:rPr>
        <w:t>.</w:t>
      </w:r>
      <w:r w:rsidR="00B03ED1">
        <w:rPr>
          <w:rFonts w:ascii="CorpoS" w:hAnsi="CorpoS"/>
          <w:szCs w:val="24"/>
          <w:lang w:val="de-DE"/>
        </w:rPr>
        <w:t xml:space="preserve"> </w:t>
      </w:r>
      <w:r w:rsidR="00E95B32">
        <w:rPr>
          <w:rFonts w:ascii="CorpoS" w:hAnsi="CorpoS"/>
          <w:szCs w:val="24"/>
          <w:lang w:val="de-DE"/>
        </w:rPr>
        <w:t>A</w:t>
      </w:r>
      <w:r w:rsidR="00B03ED1">
        <w:rPr>
          <w:rFonts w:ascii="CorpoS" w:hAnsi="CorpoS"/>
          <w:szCs w:val="24"/>
          <w:lang w:val="de-DE"/>
        </w:rPr>
        <w:t xml:space="preserve">ußerdem sorgt die Erholung im Flugstundenaufkommen für eine anziehende Nachfrage, insbesondere </w:t>
      </w:r>
      <w:r w:rsidR="00E95B32">
        <w:rPr>
          <w:rFonts w:ascii="CorpoS" w:hAnsi="CorpoS"/>
          <w:szCs w:val="24"/>
          <w:lang w:val="de-DE"/>
        </w:rPr>
        <w:t>aus dem</w:t>
      </w:r>
      <w:r w:rsidR="00B03ED1">
        <w:rPr>
          <w:rFonts w:ascii="CorpoS" w:hAnsi="CorpoS"/>
          <w:szCs w:val="24"/>
          <w:lang w:val="de-DE"/>
        </w:rPr>
        <w:t xml:space="preserve"> </w:t>
      </w:r>
      <w:proofErr w:type="spellStart"/>
      <w:r w:rsidR="00B03ED1">
        <w:rPr>
          <w:rFonts w:ascii="CorpoS" w:hAnsi="CorpoS"/>
          <w:szCs w:val="24"/>
          <w:lang w:val="de-DE"/>
        </w:rPr>
        <w:t>Narrowbody</w:t>
      </w:r>
      <w:proofErr w:type="spellEnd"/>
      <w:r w:rsidR="00B03ED1">
        <w:rPr>
          <w:rFonts w:ascii="CorpoS" w:hAnsi="CorpoS"/>
          <w:szCs w:val="24"/>
          <w:lang w:val="de-DE"/>
        </w:rPr>
        <w:t xml:space="preserve">- und Frachtbereich“, so Schreyögg. </w:t>
      </w:r>
      <w:r w:rsidR="00E95B32">
        <w:rPr>
          <w:rFonts w:ascii="CorpoS" w:hAnsi="CorpoS"/>
          <w:szCs w:val="24"/>
          <w:lang w:val="de-DE"/>
        </w:rPr>
        <w:t>Das MRO-Volumen für den Getriebefan dürfte sich analog zum gesamten Instandhaltungsbereich entwickeln und 2023 im Verhältnis zum Kerngeschäft einen Anteil im mittleren bis hohen Dreißiger-Prozentbereich einnehmen. Schreyögg weiter:</w:t>
      </w:r>
      <w:r w:rsidR="00704C20">
        <w:rPr>
          <w:rFonts w:ascii="CorpoS" w:hAnsi="CorpoS"/>
          <w:szCs w:val="24"/>
          <w:lang w:val="de-DE"/>
        </w:rPr>
        <w:t xml:space="preserve"> „In der zivilen Instandhaltung setzen wir alles daran, unsere Wettbewerbsvorteile – namentlich die vielfältigen </w:t>
      </w:r>
      <w:r w:rsidR="00E95B32">
        <w:rPr>
          <w:rFonts w:ascii="CorpoS" w:hAnsi="CorpoS"/>
          <w:szCs w:val="24"/>
          <w:lang w:val="de-DE"/>
        </w:rPr>
        <w:t>M</w:t>
      </w:r>
      <w:r w:rsidR="00704C20">
        <w:rPr>
          <w:rFonts w:ascii="CorpoS" w:hAnsi="CorpoS"/>
          <w:szCs w:val="24"/>
          <w:lang w:val="de-DE"/>
        </w:rPr>
        <w:t>arktzugänge, das breite Produktportfolio</w:t>
      </w:r>
      <w:r w:rsidR="00E95B32">
        <w:rPr>
          <w:rFonts w:ascii="CorpoS" w:hAnsi="CorpoS"/>
          <w:szCs w:val="24"/>
          <w:lang w:val="de-DE"/>
        </w:rPr>
        <w:t xml:space="preserve"> und</w:t>
      </w:r>
      <w:r w:rsidR="00704C20">
        <w:rPr>
          <w:rFonts w:ascii="CorpoS" w:hAnsi="CorpoS"/>
          <w:szCs w:val="24"/>
          <w:lang w:val="de-DE"/>
        </w:rPr>
        <w:t xml:space="preserve"> die Präsenz auf Schlüsselmärkten – kontinuierlich auszubauen. Daran haben wir auch während der Corona-Krise festgehalten</w:t>
      </w:r>
      <w:r w:rsidR="00031070">
        <w:rPr>
          <w:rFonts w:ascii="CorpoS" w:hAnsi="CorpoS"/>
          <w:szCs w:val="24"/>
          <w:lang w:val="de-DE"/>
        </w:rPr>
        <w:t>. Wir</w:t>
      </w:r>
      <w:r w:rsidR="00704C20">
        <w:rPr>
          <w:rFonts w:ascii="CorpoS" w:hAnsi="CorpoS"/>
          <w:szCs w:val="24"/>
          <w:lang w:val="de-DE"/>
        </w:rPr>
        <w:t xml:space="preserve"> </w:t>
      </w:r>
      <w:r w:rsidR="00031070">
        <w:rPr>
          <w:rFonts w:ascii="CorpoS" w:hAnsi="CorpoS"/>
          <w:szCs w:val="24"/>
          <w:lang w:val="de-DE"/>
        </w:rPr>
        <w:t>haben</w:t>
      </w:r>
      <w:r w:rsidR="00704C20">
        <w:rPr>
          <w:rFonts w:ascii="CorpoS" w:hAnsi="CorpoS"/>
          <w:szCs w:val="24"/>
          <w:lang w:val="de-DE"/>
        </w:rPr>
        <w:t xml:space="preserve"> </w:t>
      </w:r>
      <w:r w:rsidR="00E95B32">
        <w:rPr>
          <w:rFonts w:ascii="CorpoS" w:hAnsi="CorpoS"/>
          <w:szCs w:val="24"/>
          <w:lang w:val="de-DE"/>
        </w:rPr>
        <w:t>mit der Weiterführung unserer Best-</w:t>
      </w:r>
      <w:proofErr w:type="spellStart"/>
      <w:r w:rsidR="00E95B32">
        <w:rPr>
          <w:rFonts w:ascii="CorpoS" w:hAnsi="CorpoS"/>
          <w:szCs w:val="24"/>
          <w:lang w:val="de-DE"/>
        </w:rPr>
        <w:t>Cost</w:t>
      </w:r>
      <w:proofErr w:type="spellEnd"/>
      <w:r w:rsidR="00E95B32">
        <w:rPr>
          <w:rFonts w:ascii="CorpoS" w:hAnsi="CorpoS"/>
          <w:szCs w:val="24"/>
          <w:lang w:val="de-DE"/>
        </w:rPr>
        <w:t xml:space="preserve">-Strategie und dem Ausbau unserer </w:t>
      </w:r>
      <w:r w:rsidR="00B03ED1">
        <w:rPr>
          <w:rFonts w:ascii="CorpoS" w:hAnsi="CorpoS"/>
          <w:szCs w:val="24"/>
          <w:lang w:val="de-DE"/>
        </w:rPr>
        <w:t xml:space="preserve">bestehenden Maintenance-Standorte </w:t>
      </w:r>
      <w:r w:rsidR="00E95B32">
        <w:rPr>
          <w:rFonts w:ascii="CorpoS" w:hAnsi="CorpoS"/>
          <w:szCs w:val="24"/>
          <w:lang w:val="de-DE"/>
        </w:rPr>
        <w:t xml:space="preserve">unsere </w:t>
      </w:r>
      <w:r w:rsidR="00B03ED1">
        <w:rPr>
          <w:rFonts w:ascii="CorpoS" w:hAnsi="CorpoS"/>
          <w:szCs w:val="24"/>
          <w:lang w:val="de-DE"/>
        </w:rPr>
        <w:t xml:space="preserve">Flexibilität </w:t>
      </w:r>
      <w:r w:rsidR="00E95B32">
        <w:rPr>
          <w:rFonts w:ascii="CorpoS" w:hAnsi="CorpoS"/>
          <w:szCs w:val="24"/>
          <w:lang w:val="de-DE"/>
        </w:rPr>
        <w:t xml:space="preserve">und Kundennähe </w:t>
      </w:r>
      <w:r w:rsidR="00B03ED1">
        <w:rPr>
          <w:rFonts w:ascii="CorpoS" w:hAnsi="CorpoS"/>
          <w:szCs w:val="24"/>
          <w:lang w:val="de-DE"/>
        </w:rPr>
        <w:t>erhöht</w:t>
      </w:r>
      <w:r w:rsidR="00E95B32">
        <w:rPr>
          <w:rFonts w:ascii="CorpoS" w:hAnsi="CorpoS"/>
          <w:szCs w:val="24"/>
          <w:lang w:val="de-DE"/>
        </w:rPr>
        <w:t xml:space="preserve"> und sind so optimal positioniert, um die Marktchancen zu nutzen</w:t>
      </w:r>
      <w:r w:rsidR="00B03ED1">
        <w:rPr>
          <w:rFonts w:ascii="CorpoS" w:hAnsi="CorpoS"/>
          <w:szCs w:val="24"/>
          <w:lang w:val="de-DE"/>
        </w:rPr>
        <w:t>.</w:t>
      </w:r>
      <w:r w:rsidR="00E95B32">
        <w:rPr>
          <w:rFonts w:ascii="CorpoS" w:hAnsi="CorpoS"/>
          <w:szCs w:val="24"/>
          <w:lang w:val="de-DE"/>
        </w:rPr>
        <w:t>“</w:t>
      </w:r>
    </w:p>
    <w:p w:rsidR="00623E6F" w:rsidRDefault="00623E6F" w:rsidP="00623E6F">
      <w:pPr>
        <w:tabs>
          <w:tab w:val="left" w:pos="7655"/>
          <w:tab w:val="left" w:pos="9072"/>
        </w:tabs>
        <w:spacing w:line="300" w:lineRule="exact"/>
        <w:ind w:right="283"/>
        <w:jc w:val="both"/>
        <w:rPr>
          <w:rFonts w:ascii="CorpoS" w:hAnsi="CorpoS"/>
          <w:color w:val="FF0000"/>
          <w:szCs w:val="24"/>
          <w:lang w:val="de-DE"/>
        </w:rPr>
      </w:pPr>
    </w:p>
    <w:p w:rsidR="00007F76" w:rsidRDefault="005E762C" w:rsidP="00E35063">
      <w:pPr>
        <w:tabs>
          <w:tab w:val="left" w:pos="7655"/>
          <w:tab w:val="left" w:pos="7938"/>
        </w:tabs>
        <w:spacing w:line="300" w:lineRule="exact"/>
        <w:ind w:right="283"/>
        <w:jc w:val="both"/>
        <w:rPr>
          <w:rFonts w:ascii="CorpoS" w:hAnsi="CorpoS"/>
          <w:szCs w:val="24"/>
          <w:lang w:val="de-DE"/>
        </w:rPr>
      </w:pPr>
      <w:r w:rsidRPr="0045168C">
        <w:rPr>
          <w:rFonts w:ascii="CorpoS" w:hAnsi="CorpoS"/>
          <w:szCs w:val="24"/>
          <w:lang w:val="de-DE"/>
        </w:rPr>
        <w:t>Das Milit</w:t>
      </w:r>
      <w:r w:rsidR="006253FC" w:rsidRPr="0045168C">
        <w:rPr>
          <w:rFonts w:ascii="CorpoS" w:hAnsi="CorpoS"/>
          <w:szCs w:val="24"/>
          <w:lang w:val="de-DE"/>
        </w:rPr>
        <w:t xml:space="preserve">ärgeschäft der MTU dürfte 2023 </w:t>
      </w:r>
      <w:r w:rsidR="00AD3CD0" w:rsidRPr="0045168C">
        <w:rPr>
          <w:rFonts w:ascii="CorpoS" w:hAnsi="CorpoS"/>
          <w:szCs w:val="24"/>
          <w:lang w:val="de-DE"/>
        </w:rPr>
        <w:t>i</w:t>
      </w:r>
      <w:r w:rsidRPr="0045168C">
        <w:rPr>
          <w:rFonts w:ascii="CorpoS" w:hAnsi="CorpoS"/>
          <w:szCs w:val="24"/>
          <w:lang w:val="de-DE"/>
        </w:rPr>
        <w:t xml:space="preserve">m mittleren einstelligen Prozentbereich wachsen. </w:t>
      </w:r>
      <w:r w:rsidR="00805FAF" w:rsidRPr="0045168C">
        <w:rPr>
          <w:rFonts w:ascii="CorpoS" w:hAnsi="CorpoS"/>
          <w:szCs w:val="24"/>
          <w:lang w:val="de-DE"/>
        </w:rPr>
        <w:t>Schreyögg: „</w:t>
      </w:r>
      <w:r w:rsidR="00273AE0" w:rsidRPr="0045168C">
        <w:rPr>
          <w:rFonts w:ascii="CorpoS" w:hAnsi="CorpoS"/>
          <w:szCs w:val="24"/>
          <w:lang w:val="de-DE"/>
        </w:rPr>
        <w:t xml:space="preserve">Eine zentrale Rolle spielt dabei der </w:t>
      </w:r>
      <w:r w:rsidR="009B7D07" w:rsidRPr="0045168C">
        <w:rPr>
          <w:rFonts w:ascii="CorpoS" w:hAnsi="CorpoS"/>
          <w:szCs w:val="24"/>
          <w:lang w:val="de-DE"/>
        </w:rPr>
        <w:t>Eurofighter-Antrieb EJ200</w:t>
      </w:r>
      <w:r w:rsidR="00273AE0" w:rsidRPr="0045168C">
        <w:rPr>
          <w:rFonts w:ascii="CorpoS" w:hAnsi="CorpoS"/>
          <w:szCs w:val="24"/>
          <w:lang w:val="de-DE"/>
        </w:rPr>
        <w:t xml:space="preserve"> mit </w:t>
      </w:r>
      <w:r w:rsidR="009B7D07" w:rsidRPr="0045168C">
        <w:rPr>
          <w:rFonts w:ascii="CorpoS" w:hAnsi="CorpoS"/>
          <w:szCs w:val="24"/>
          <w:lang w:val="de-DE"/>
        </w:rPr>
        <w:t xml:space="preserve">Auslieferungen an Exportkunden </w:t>
      </w:r>
      <w:r w:rsidR="00273AE0" w:rsidRPr="0045168C">
        <w:rPr>
          <w:rFonts w:ascii="CorpoS" w:hAnsi="CorpoS"/>
          <w:szCs w:val="24"/>
          <w:lang w:val="de-DE"/>
        </w:rPr>
        <w:t xml:space="preserve">und einem hohem </w:t>
      </w:r>
      <w:r w:rsidR="00B73DCC" w:rsidRPr="0045168C">
        <w:rPr>
          <w:rFonts w:ascii="CorpoS" w:hAnsi="CorpoS"/>
          <w:szCs w:val="24"/>
          <w:lang w:val="de-DE"/>
        </w:rPr>
        <w:t>Arbeitsv</w:t>
      </w:r>
      <w:r w:rsidR="009B7D07" w:rsidRPr="0045168C">
        <w:rPr>
          <w:rFonts w:ascii="CorpoS" w:hAnsi="CorpoS"/>
          <w:szCs w:val="24"/>
          <w:lang w:val="de-DE"/>
        </w:rPr>
        <w:t xml:space="preserve">olumen im </w:t>
      </w:r>
      <w:proofErr w:type="spellStart"/>
      <w:r w:rsidR="009B7D07" w:rsidRPr="0045168C">
        <w:rPr>
          <w:rFonts w:ascii="CorpoS" w:hAnsi="CorpoS"/>
          <w:szCs w:val="24"/>
          <w:lang w:val="de-DE"/>
        </w:rPr>
        <w:t>Aftermarket</w:t>
      </w:r>
      <w:proofErr w:type="spellEnd"/>
      <w:r w:rsidR="009B7D07" w:rsidRPr="0045168C">
        <w:rPr>
          <w:rFonts w:ascii="CorpoS" w:hAnsi="CorpoS"/>
          <w:szCs w:val="24"/>
          <w:lang w:val="de-DE"/>
        </w:rPr>
        <w:t xml:space="preserve">-Bereich zur </w:t>
      </w:r>
      <w:r w:rsidR="005D4D3E">
        <w:rPr>
          <w:rFonts w:ascii="CorpoS" w:hAnsi="CorpoS"/>
          <w:szCs w:val="24"/>
          <w:lang w:val="de-DE"/>
        </w:rPr>
        <w:t>Sicherung der Verfügbarkeit</w:t>
      </w:r>
      <w:r w:rsidR="009B7D07" w:rsidRPr="0045168C">
        <w:rPr>
          <w:rFonts w:ascii="CorpoS" w:hAnsi="CorpoS"/>
          <w:szCs w:val="24"/>
          <w:lang w:val="de-DE"/>
        </w:rPr>
        <w:t xml:space="preserve"> im Einsatz befindlicher Flotten. </w:t>
      </w:r>
      <w:r w:rsidR="00B73DCC" w:rsidRPr="0045168C">
        <w:rPr>
          <w:rFonts w:ascii="CorpoS" w:hAnsi="CorpoS"/>
          <w:szCs w:val="24"/>
          <w:lang w:val="de-DE"/>
        </w:rPr>
        <w:t>Durch Exportkampagnen oder als Tornado-Ersatz hat der</w:t>
      </w:r>
      <w:r w:rsidR="009B7D07" w:rsidRPr="0045168C">
        <w:rPr>
          <w:rFonts w:ascii="CorpoS" w:hAnsi="CorpoS"/>
          <w:szCs w:val="24"/>
          <w:lang w:val="de-DE"/>
        </w:rPr>
        <w:t xml:space="preserve"> </w:t>
      </w:r>
      <w:r w:rsidR="00AD3CD0" w:rsidRPr="0045168C">
        <w:rPr>
          <w:rFonts w:ascii="CorpoS" w:hAnsi="CorpoS"/>
          <w:szCs w:val="24"/>
          <w:lang w:val="de-DE"/>
        </w:rPr>
        <w:t xml:space="preserve">Eurofighter </w:t>
      </w:r>
      <w:r w:rsidR="00B73DCC" w:rsidRPr="0045168C">
        <w:rPr>
          <w:rFonts w:ascii="CorpoS" w:hAnsi="CorpoS"/>
          <w:szCs w:val="24"/>
          <w:lang w:val="de-DE"/>
        </w:rPr>
        <w:t>Z</w:t>
      </w:r>
      <w:r w:rsidR="00AD3CD0" w:rsidRPr="0045168C">
        <w:rPr>
          <w:rFonts w:ascii="CorpoS" w:hAnsi="CorpoS"/>
          <w:szCs w:val="24"/>
          <w:lang w:val="de-DE"/>
        </w:rPr>
        <w:t xml:space="preserve">ukunftspotenzial bis in die 2050er Jahre. </w:t>
      </w:r>
      <w:r w:rsidR="00B73DCC" w:rsidRPr="0045168C">
        <w:rPr>
          <w:rFonts w:ascii="CorpoS" w:hAnsi="CorpoS"/>
          <w:szCs w:val="24"/>
          <w:lang w:val="de-DE"/>
        </w:rPr>
        <w:t>Bestens vorbereitet ist die MTU auch auf die nächste europäische Kampfflugzeug-Generation mit der Next European Fighter Engine. Die attraktiven Wachstumschancen, die sich daraus ergeben, werden wir ebenso nutzen wie das Wachstumspotenzial aus dem D</w:t>
      </w:r>
      <w:r w:rsidR="002F38FF" w:rsidRPr="0045168C">
        <w:rPr>
          <w:rFonts w:ascii="CorpoS" w:hAnsi="CorpoS"/>
          <w:szCs w:val="24"/>
          <w:lang w:val="de-DE"/>
        </w:rPr>
        <w:t xml:space="preserve">ienstleistungs- und </w:t>
      </w:r>
      <w:proofErr w:type="spellStart"/>
      <w:r w:rsidR="002F38FF" w:rsidRPr="0045168C">
        <w:rPr>
          <w:rFonts w:ascii="CorpoS" w:hAnsi="CorpoS"/>
          <w:szCs w:val="24"/>
          <w:lang w:val="de-DE"/>
        </w:rPr>
        <w:t>Aftermarket</w:t>
      </w:r>
      <w:proofErr w:type="spellEnd"/>
      <w:r w:rsidR="002F38FF" w:rsidRPr="0045168C">
        <w:rPr>
          <w:rFonts w:ascii="CorpoS" w:hAnsi="CorpoS"/>
          <w:szCs w:val="24"/>
          <w:lang w:val="de-DE"/>
        </w:rPr>
        <w:t>-Bereich</w:t>
      </w:r>
      <w:r w:rsidR="00B73DCC" w:rsidRPr="0045168C">
        <w:rPr>
          <w:rFonts w:ascii="CorpoS" w:hAnsi="CorpoS"/>
          <w:szCs w:val="24"/>
          <w:lang w:val="de-DE"/>
        </w:rPr>
        <w:t xml:space="preserve"> bestehender Programme</w:t>
      </w:r>
      <w:r w:rsidR="002F38FF" w:rsidRPr="0045168C">
        <w:rPr>
          <w:rFonts w:ascii="CorpoS" w:hAnsi="CorpoS"/>
          <w:szCs w:val="24"/>
          <w:lang w:val="de-DE"/>
        </w:rPr>
        <w:t>.</w:t>
      </w:r>
      <w:r w:rsidR="00805FAF" w:rsidRPr="0045168C">
        <w:rPr>
          <w:rFonts w:ascii="CorpoS" w:hAnsi="CorpoS"/>
          <w:szCs w:val="24"/>
          <w:lang w:val="de-DE"/>
        </w:rPr>
        <w:t>“</w:t>
      </w:r>
      <w:r w:rsidR="00AD3CD0" w:rsidRPr="0045168C">
        <w:rPr>
          <w:rFonts w:ascii="CorpoS" w:hAnsi="CorpoS"/>
          <w:szCs w:val="24"/>
          <w:lang w:val="de-DE"/>
        </w:rPr>
        <w:t xml:space="preserve"> Wagner ergänzte: „Gerade mit Blick auf die Next European Fighter Engine ergeben sich auch in technologischer Hinsicht Chancen für die MTU. Durch die Entwicklungsarbeit können wir unsere Technologie-Kompetenzen</w:t>
      </w:r>
      <w:r w:rsidR="0045168C" w:rsidRPr="0045168C">
        <w:rPr>
          <w:rFonts w:ascii="CorpoS" w:hAnsi="CorpoS"/>
          <w:szCs w:val="24"/>
          <w:lang w:val="de-DE"/>
        </w:rPr>
        <w:t xml:space="preserve"> im Hightech-Bereich</w:t>
      </w:r>
      <w:r w:rsidR="00AD3CD0" w:rsidRPr="0045168C">
        <w:rPr>
          <w:rFonts w:ascii="CorpoS" w:hAnsi="CorpoS"/>
          <w:szCs w:val="24"/>
          <w:lang w:val="de-DE"/>
        </w:rPr>
        <w:t xml:space="preserve"> weiter ausbauen und </w:t>
      </w:r>
      <w:r w:rsidR="0045168C" w:rsidRPr="0045168C">
        <w:rPr>
          <w:rFonts w:ascii="CorpoS" w:hAnsi="CorpoS"/>
          <w:szCs w:val="24"/>
          <w:lang w:val="de-DE"/>
        </w:rPr>
        <w:t xml:space="preserve">perspektivisch </w:t>
      </w:r>
      <w:r w:rsidR="00AD3CD0" w:rsidRPr="0045168C">
        <w:rPr>
          <w:rFonts w:ascii="CorpoS" w:hAnsi="CorpoS"/>
          <w:szCs w:val="24"/>
          <w:lang w:val="de-DE"/>
        </w:rPr>
        <w:t>die Chance zum Technologie-Transfer in den zivilen Bereich nutzen.“</w:t>
      </w:r>
    </w:p>
    <w:p w:rsidR="0056770E" w:rsidRDefault="0056770E" w:rsidP="00E35063">
      <w:pPr>
        <w:tabs>
          <w:tab w:val="left" w:pos="7655"/>
          <w:tab w:val="left" w:pos="7938"/>
        </w:tabs>
        <w:spacing w:line="300" w:lineRule="exact"/>
        <w:ind w:right="283"/>
        <w:jc w:val="both"/>
        <w:rPr>
          <w:rFonts w:ascii="CorpoS" w:hAnsi="CorpoS"/>
          <w:szCs w:val="24"/>
          <w:lang w:val="de-DE"/>
        </w:rPr>
      </w:pPr>
    </w:p>
    <w:p w:rsidR="0056770E" w:rsidRPr="00FC77A7" w:rsidRDefault="002512F6" w:rsidP="00E35063">
      <w:pPr>
        <w:tabs>
          <w:tab w:val="left" w:pos="7655"/>
          <w:tab w:val="left" w:pos="7938"/>
        </w:tabs>
        <w:spacing w:line="300" w:lineRule="exact"/>
        <w:ind w:right="283"/>
        <w:jc w:val="both"/>
        <w:rPr>
          <w:rFonts w:ascii="CorpoS" w:hAnsi="CorpoS"/>
          <w:szCs w:val="24"/>
          <w:lang w:val="de-DE"/>
        </w:rPr>
      </w:pPr>
      <w:r>
        <w:rPr>
          <w:rFonts w:ascii="CorpoS" w:hAnsi="CorpoS"/>
          <w:szCs w:val="24"/>
          <w:lang w:val="de-DE"/>
        </w:rPr>
        <w:t xml:space="preserve">„Unser wachsendes Geschäft zieht selbstverständlich auch einen Personalaufbau nach sich“, sagte </w:t>
      </w:r>
      <w:r w:rsidR="0056770E">
        <w:rPr>
          <w:rFonts w:ascii="CorpoS" w:hAnsi="CorpoS"/>
          <w:szCs w:val="24"/>
          <w:lang w:val="de-DE"/>
        </w:rPr>
        <w:t>Winkler</w:t>
      </w:r>
      <w:r>
        <w:rPr>
          <w:rFonts w:ascii="CorpoS" w:hAnsi="CorpoS"/>
          <w:szCs w:val="24"/>
          <w:lang w:val="de-DE"/>
        </w:rPr>
        <w:t xml:space="preserve">. „Unseren bestehenden wie neuen Mitarbeitern bieten wir eine innovative Unternehmenskultur sowie interessante, zukunftssichere Arbeitsplätze in einem Hightech-Umfeld.“  „Bei der MTU arbeiten wir gemeinsam an einer besseren Zukunft“, so Wagner. „Wir zeichnen mit unserer Technologie-Agenda Claire </w:t>
      </w:r>
      <w:r w:rsidR="00654EEF">
        <w:rPr>
          <w:rFonts w:ascii="CorpoS" w:hAnsi="CorpoS"/>
          <w:szCs w:val="24"/>
          <w:lang w:val="de-DE"/>
        </w:rPr>
        <w:t xml:space="preserve">mit evolutionären und revolutionären Triebwerkskonzepten </w:t>
      </w:r>
      <w:r>
        <w:rPr>
          <w:rFonts w:ascii="CorpoS" w:hAnsi="CorpoS"/>
          <w:szCs w:val="24"/>
          <w:lang w:val="de-DE"/>
        </w:rPr>
        <w:t xml:space="preserve">den </w:t>
      </w:r>
      <w:r w:rsidR="00654EEF">
        <w:rPr>
          <w:rFonts w:ascii="CorpoS" w:hAnsi="CorpoS"/>
          <w:szCs w:val="24"/>
          <w:lang w:val="de-DE"/>
        </w:rPr>
        <w:t xml:space="preserve">konkreten </w:t>
      </w:r>
      <w:r>
        <w:rPr>
          <w:rFonts w:ascii="CorpoS" w:hAnsi="CorpoS"/>
          <w:szCs w:val="24"/>
          <w:lang w:val="de-DE"/>
        </w:rPr>
        <w:t xml:space="preserve">Weg zum emissionsfreien Fliegen vor. </w:t>
      </w:r>
      <w:r w:rsidR="00654EEF">
        <w:rPr>
          <w:rFonts w:ascii="CorpoS" w:hAnsi="CorpoS"/>
          <w:szCs w:val="24"/>
          <w:lang w:val="de-DE"/>
        </w:rPr>
        <w:t xml:space="preserve">Basis für die Entwicklung unseres </w:t>
      </w:r>
      <w:r w:rsidR="00654EEF">
        <w:rPr>
          <w:rFonts w:ascii="CorpoS" w:hAnsi="CorpoS"/>
          <w:szCs w:val="24"/>
          <w:lang w:val="de-DE"/>
        </w:rPr>
        <w:lastRenderedPageBreak/>
        <w:t>zukunftssicheren Portfolios ist unser klares Bekenntnis zu den Prinzipien des UN Global Com</w:t>
      </w:r>
      <w:r w:rsidR="00654EEF" w:rsidRPr="00FC77A7">
        <w:rPr>
          <w:rFonts w:ascii="CorpoS" w:hAnsi="CorpoS"/>
          <w:szCs w:val="24"/>
          <w:lang w:val="de-DE"/>
        </w:rPr>
        <w:t>pact.“</w:t>
      </w:r>
    </w:p>
    <w:p w:rsidR="002B3300" w:rsidRPr="00FC77A7" w:rsidRDefault="002B3300" w:rsidP="00E35063">
      <w:pPr>
        <w:tabs>
          <w:tab w:val="left" w:pos="7655"/>
          <w:tab w:val="left" w:pos="7938"/>
        </w:tabs>
        <w:spacing w:line="300" w:lineRule="exact"/>
        <w:ind w:right="283"/>
        <w:jc w:val="both"/>
        <w:rPr>
          <w:rFonts w:ascii="CorpoS" w:hAnsi="CorpoS"/>
          <w:szCs w:val="24"/>
          <w:lang w:val="de-DE"/>
        </w:rPr>
      </w:pPr>
    </w:p>
    <w:p w:rsidR="008B64BE" w:rsidRPr="00FC77A7" w:rsidRDefault="00654EEF" w:rsidP="00E35063">
      <w:pPr>
        <w:tabs>
          <w:tab w:val="left" w:pos="7655"/>
          <w:tab w:val="left" w:pos="7938"/>
        </w:tabs>
        <w:spacing w:line="300" w:lineRule="exact"/>
        <w:ind w:right="283"/>
        <w:jc w:val="both"/>
        <w:rPr>
          <w:rFonts w:ascii="CorpoS" w:hAnsi="CorpoS"/>
          <w:szCs w:val="24"/>
          <w:lang w:val="de-DE"/>
        </w:rPr>
      </w:pPr>
      <w:r w:rsidRPr="00FC77A7">
        <w:rPr>
          <w:rFonts w:ascii="CorpoS" w:hAnsi="CorpoS"/>
          <w:szCs w:val="24"/>
          <w:lang w:val="de-DE"/>
        </w:rPr>
        <w:t xml:space="preserve">Die MTU setzt weiter auf organisches Wachstum. Unterstützt werden die Wachstumspläne von der guten Finanzposition des Unternehmens. </w:t>
      </w:r>
      <w:proofErr w:type="spellStart"/>
      <w:r w:rsidR="00126FF9" w:rsidRPr="00FC77A7">
        <w:rPr>
          <w:rFonts w:ascii="CorpoS" w:hAnsi="CorpoS"/>
          <w:szCs w:val="24"/>
          <w:lang w:val="de-DE"/>
        </w:rPr>
        <w:t>Kameritsch</w:t>
      </w:r>
      <w:proofErr w:type="spellEnd"/>
      <w:r w:rsidRPr="00FC77A7">
        <w:rPr>
          <w:rFonts w:ascii="CorpoS" w:hAnsi="CorpoS"/>
          <w:szCs w:val="24"/>
          <w:lang w:val="de-DE"/>
        </w:rPr>
        <w:t xml:space="preserve">: </w:t>
      </w:r>
      <w:r w:rsidR="00F413E3" w:rsidRPr="00FC77A7">
        <w:rPr>
          <w:rFonts w:ascii="CorpoS" w:hAnsi="CorpoS"/>
          <w:szCs w:val="24"/>
          <w:lang w:val="de-DE"/>
        </w:rPr>
        <w:t>„Derzeit haben wir durch die US-Dollar-Euro-Wechselkursentwicklung Rückenwind</w:t>
      </w:r>
      <w:r w:rsidR="00B55AB6" w:rsidRPr="00FC77A7">
        <w:rPr>
          <w:rFonts w:ascii="CorpoS" w:hAnsi="CorpoS"/>
          <w:szCs w:val="24"/>
          <w:lang w:val="de-DE"/>
        </w:rPr>
        <w:t>. Indem wir den Spielraum unseres Hedging-Modells ausschöpfen, schaffen wir Planungssicherheit für die MTU. Ziel unseres umsichtigen Finanz-Managements bleibt ein ausgewogener Verschuldungsgrad beim 0,5- bis 1,5-fachen des EBITDA</w:t>
      </w:r>
      <w:r w:rsidR="00FC77A7" w:rsidRPr="00FC77A7">
        <w:rPr>
          <w:rFonts w:ascii="CorpoS" w:hAnsi="CorpoS"/>
          <w:szCs w:val="24"/>
          <w:lang w:val="de-DE"/>
        </w:rPr>
        <w:t>. Unsere Aktionäre wollen wir am Wachstum der MTU beteiligen, indem wir die Ausschüttungsquote sukzessive auf etwa 40 Prozent des bereinigten Gewinns nach Steuern erhöhen.“</w:t>
      </w:r>
    </w:p>
    <w:p w:rsidR="0033584F" w:rsidRPr="00FC77A7" w:rsidRDefault="0033584F" w:rsidP="001200C9">
      <w:pPr>
        <w:tabs>
          <w:tab w:val="left" w:pos="7655"/>
          <w:tab w:val="left" w:pos="9072"/>
        </w:tabs>
        <w:spacing w:line="300" w:lineRule="exact"/>
        <w:ind w:right="283"/>
        <w:jc w:val="both"/>
        <w:rPr>
          <w:rFonts w:ascii="CorpoS" w:hAnsi="CorpoS"/>
          <w:szCs w:val="24"/>
          <w:lang w:val="de-DE"/>
        </w:rPr>
      </w:pPr>
    </w:p>
    <w:p w:rsidR="0033584F" w:rsidRPr="00F41734" w:rsidRDefault="003E78C5" w:rsidP="001200C9">
      <w:pPr>
        <w:tabs>
          <w:tab w:val="left" w:pos="7655"/>
          <w:tab w:val="left" w:pos="9072"/>
        </w:tabs>
        <w:spacing w:line="300" w:lineRule="exact"/>
        <w:ind w:right="283"/>
        <w:jc w:val="both"/>
        <w:rPr>
          <w:rFonts w:ascii="CorpoS" w:hAnsi="CorpoS"/>
          <w:b/>
          <w:szCs w:val="24"/>
          <w:lang w:val="de-DE"/>
        </w:rPr>
      </w:pPr>
      <w:r w:rsidRPr="00F41734">
        <w:rPr>
          <w:rFonts w:ascii="CorpoS" w:hAnsi="CorpoS"/>
          <w:b/>
          <w:szCs w:val="24"/>
          <w:lang w:val="de-DE"/>
        </w:rPr>
        <w:t>Prognose</w:t>
      </w:r>
    </w:p>
    <w:p w:rsidR="0033584F" w:rsidRPr="00F41734" w:rsidRDefault="0033584F" w:rsidP="001200C9">
      <w:pPr>
        <w:tabs>
          <w:tab w:val="left" w:pos="7655"/>
          <w:tab w:val="left" w:pos="9072"/>
        </w:tabs>
        <w:spacing w:line="300" w:lineRule="exact"/>
        <w:ind w:right="283"/>
        <w:jc w:val="both"/>
        <w:rPr>
          <w:rFonts w:ascii="CorpoS" w:hAnsi="CorpoS"/>
          <w:i/>
          <w:szCs w:val="24"/>
          <w:lang w:val="de-DE"/>
        </w:rPr>
      </w:pPr>
      <w:r w:rsidRPr="00F41734">
        <w:rPr>
          <w:rFonts w:ascii="CorpoS" w:hAnsi="CorpoS"/>
          <w:i/>
          <w:szCs w:val="24"/>
          <w:lang w:val="de-DE"/>
        </w:rPr>
        <w:t>Umsatzentwicklung organisch</w:t>
      </w:r>
    </w:p>
    <w:p w:rsidR="0033584F" w:rsidRPr="00F41734" w:rsidRDefault="0033584F" w:rsidP="001200C9">
      <w:pPr>
        <w:tabs>
          <w:tab w:val="left" w:pos="7655"/>
          <w:tab w:val="left" w:pos="9072"/>
        </w:tabs>
        <w:spacing w:line="300" w:lineRule="exact"/>
        <w:ind w:right="283"/>
        <w:jc w:val="both"/>
        <w:rPr>
          <w:rFonts w:ascii="CorpoS" w:hAnsi="CorpoS"/>
          <w:color w:val="FF0000"/>
          <w:szCs w:val="24"/>
          <w:lang w:val="de-DE"/>
        </w:rPr>
      </w:pPr>
    </w:p>
    <w:tbl>
      <w:tblPr>
        <w:tblStyle w:val="Tabellenraster"/>
        <w:tblW w:w="0" w:type="auto"/>
        <w:tblLook w:val="04A0" w:firstRow="1" w:lastRow="0" w:firstColumn="1" w:lastColumn="0" w:noHBand="0" w:noVBand="1"/>
      </w:tblPr>
      <w:tblGrid>
        <w:gridCol w:w="2689"/>
        <w:gridCol w:w="2976"/>
        <w:gridCol w:w="1843"/>
        <w:gridCol w:w="1837"/>
      </w:tblGrid>
      <w:tr w:rsidR="007853A4" w:rsidRPr="007853A4" w:rsidTr="00A03947">
        <w:tc>
          <w:tcPr>
            <w:tcW w:w="2689" w:type="dxa"/>
          </w:tcPr>
          <w:p w:rsidR="00F95111" w:rsidRPr="007853A4" w:rsidRDefault="00F95111" w:rsidP="001200C9">
            <w:pPr>
              <w:tabs>
                <w:tab w:val="left" w:pos="7655"/>
                <w:tab w:val="left" w:pos="9072"/>
              </w:tabs>
              <w:spacing w:line="300" w:lineRule="exact"/>
              <w:ind w:right="283"/>
              <w:jc w:val="both"/>
              <w:rPr>
                <w:rFonts w:ascii="CorpoS" w:hAnsi="CorpoS"/>
                <w:b/>
                <w:szCs w:val="24"/>
                <w:lang w:val="de-DE"/>
              </w:rPr>
            </w:pPr>
          </w:p>
        </w:tc>
        <w:tc>
          <w:tcPr>
            <w:tcW w:w="2976" w:type="dxa"/>
          </w:tcPr>
          <w:p w:rsidR="00F95111" w:rsidRPr="007853A4" w:rsidRDefault="00F95111" w:rsidP="0033584F">
            <w:pPr>
              <w:tabs>
                <w:tab w:val="left" w:pos="7655"/>
                <w:tab w:val="left" w:pos="9072"/>
              </w:tabs>
              <w:spacing w:line="300" w:lineRule="exact"/>
              <w:ind w:right="283"/>
              <w:jc w:val="both"/>
              <w:rPr>
                <w:rFonts w:ascii="CorpoS" w:hAnsi="CorpoS"/>
                <w:b/>
                <w:szCs w:val="24"/>
                <w:lang w:val="de-DE"/>
              </w:rPr>
            </w:pPr>
            <w:r w:rsidRPr="007853A4">
              <w:rPr>
                <w:rFonts w:ascii="CorpoS" w:hAnsi="CorpoS"/>
                <w:b/>
                <w:szCs w:val="24"/>
                <w:lang w:val="de-DE"/>
              </w:rPr>
              <w:t>2023</w:t>
            </w:r>
          </w:p>
        </w:tc>
        <w:tc>
          <w:tcPr>
            <w:tcW w:w="1843" w:type="dxa"/>
          </w:tcPr>
          <w:p w:rsidR="00F95111" w:rsidRPr="007853A4" w:rsidRDefault="00F95111" w:rsidP="0033584F">
            <w:pPr>
              <w:tabs>
                <w:tab w:val="left" w:pos="7655"/>
                <w:tab w:val="left" w:pos="9072"/>
              </w:tabs>
              <w:spacing w:line="300" w:lineRule="exact"/>
              <w:ind w:right="283"/>
              <w:jc w:val="both"/>
              <w:rPr>
                <w:rFonts w:ascii="CorpoS" w:hAnsi="CorpoS"/>
                <w:b/>
                <w:szCs w:val="24"/>
                <w:lang w:val="de-DE"/>
              </w:rPr>
            </w:pPr>
            <w:r w:rsidRPr="007853A4">
              <w:rPr>
                <w:rFonts w:ascii="CorpoS" w:hAnsi="CorpoS"/>
                <w:b/>
                <w:szCs w:val="24"/>
                <w:lang w:val="de-DE"/>
              </w:rPr>
              <w:t>2024</w:t>
            </w:r>
          </w:p>
        </w:tc>
        <w:tc>
          <w:tcPr>
            <w:tcW w:w="1837" w:type="dxa"/>
          </w:tcPr>
          <w:p w:rsidR="00F95111" w:rsidRPr="007853A4" w:rsidRDefault="00F95111" w:rsidP="0033584F">
            <w:pPr>
              <w:tabs>
                <w:tab w:val="left" w:pos="7655"/>
                <w:tab w:val="left" w:pos="9072"/>
              </w:tabs>
              <w:spacing w:line="300" w:lineRule="exact"/>
              <w:ind w:right="283"/>
              <w:jc w:val="both"/>
              <w:rPr>
                <w:rFonts w:ascii="CorpoS" w:hAnsi="CorpoS"/>
                <w:b/>
                <w:szCs w:val="24"/>
                <w:lang w:val="de-DE"/>
              </w:rPr>
            </w:pPr>
            <w:r w:rsidRPr="007853A4">
              <w:rPr>
                <w:rFonts w:ascii="CorpoS" w:hAnsi="CorpoS"/>
                <w:b/>
                <w:szCs w:val="24"/>
                <w:lang w:val="de-DE"/>
              </w:rPr>
              <w:t>2025</w:t>
            </w:r>
          </w:p>
        </w:tc>
      </w:tr>
      <w:tr w:rsidR="007853A4" w:rsidRPr="007853A4" w:rsidTr="00A03947">
        <w:tc>
          <w:tcPr>
            <w:tcW w:w="2689" w:type="dxa"/>
          </w:tcPr>
          <w:p w:rsidR="00F95111" w:rsidRPr="007853A4" w:rsidRDefault="00F95111" w:rsidP="001200C9">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Umsatz</w:t>
            </w:r>
          </w:p>
        </w:tc>
        <w:tc>
          <w:tcPr>
            <w:tcW w:w="2976" w:type="dxa"/>
          </w:tcPr>
          <w:p w:rsidR="00F95111" w:rsidRPr="007853A4" w:rsidRDefault="00574868" w:rsidP="0033584F">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6,4 bis 6,6</w:t>
            </w:r>
            <w:r w:rsidR="00F95111" w:rsidRPr="007853A4">
              <w:rPr>
                <w:rFonts w:ascii="CorpoS" w:hAnsi="CorpoS"/>
                <w:szCs w:val="24"/>
                <w:lang w:val="de-DE"/>
              </w:rPr>
              <w:t xml:space="preserve"> Mrd. €</w:t>
            </w:r>
          </w:p>
        </w:tc>
        <w:tc>
          <w:tcPr>
            <w:tcW w:w="1843" w:type="dxa"/>
          </w:tcPr>
          <w:p w:rsidR="00F95111" w:rsidRPr="007853A4" w:rsidRDefault="00574868" w:rsidP="0033584F">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Kontinuierlicher Anstieg</w:t>
            </w:r>
          </w:p>
        </w:tc>
        <w:tc>
          <w:tcPr>
            <w:tcW w:w="1837" w:type="dxa"/>
          </w:tcPr>
          <w:p w:rsidR="00F95111" w:rsidRPr="007853A4" w:rsidRDefault="007853A4" w:rsidP="0033584F">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Etwa 8 Mrd. €</w:t>
            </w:r>
          </w:p>
        </w:tc>
      </w:tr>
      <w:tr w:rsidR="007853A4" w:rsidRPr="007853A4" w:rsidTr="00A03947">
        <w:tc>
          <w:tcPr>
            <w:tcW w:w="2689" w:type="dxa"/>
          </w:tcPr>
          <w:p w:rsidR="00F95111" w:rsidRPr="007853A4" w:rsidRDefault="00F95111" w:rsidP="001200C9">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Ziviles Neugeschäft</w:t>
            </w:r>
          </w:p>
        </w:tc>
        <w:tc>
          <w:tcPr>
            <w:tcW w:w="2976" w:type="dxa"/>
          </w:tcPr>
          <w:p w:rsidR="00F95111" w:rsidRPr="007853A4" w:rsidRDefault="00F95111" w:rsidP="00574868">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 xml:space="preserve">Anstieg </w:t>
            </w:r>
            <w:r w:rsidR="00574868" w:rsidRPr="007853A4">
              <w:rPr>
                <w:rFonts w:ascii="CorpoS" w:hAnsi="CorpoS"/>
                <w:i/>
                <w:szCs w:val="24"/>
                <w:lang w:val="de-DE"/>
              </w:rPr>
              <w:t>um etwa 30 %</w:t>
            </w:r>
          </w:p>
        </w:tc>
        <w:tc>
          <w:tcPr>
            <w:tcW w:w="1843" w:type="dxa"/>
          </w:tcPr>
          <w:p w:rsidR="00F95111" w:rsidRPr="007853A4" w:rsidRDefault="00F95111" w:rsidP="0033584F">
            <w:pPr>
              <w:tabs>
                <w:tab w:val="left" w:pos="7655"/>
                <w:tab w:val="left" w:pos="9072"/>
              </w:tabs>
              <w:spacing w:line="300" w:lineRule="exact"/>
              <w:ind w:right="283"/>
              <w:jc w:val="both"/>
              <w:rPr>
                <w:rFonts w:ascii="CorpoS" w:hAnsi="CorpoS"/>
                <w:i/>
                <w:szCs w:val="24"/>
                <w:lang w:val="de-DE"/>
              </w:rPr>
            </w:pPr>
          </w:p>
        </w:tc>
        <w:tc>
          <w:tcPr>
            <w:tcW w:w="1837" w:type="dxa"/>
          </w:tcPr>
          <w:p w:rsidR="00F95111" w:rsidRPr="007853A4" w:rsidRDefault="00F95111" w:rsidP="0033584F">
            <w:pPr>
              <w:tabs>
                <w:tab w:val="left" w:pos="7655"/>
                <w:tab w:val="left" w:pos="9072"/>
              </w:tabs>
              <w:spacing w:line="300" w:lineRule="exact"/>
              <w:ind w:right="283"/>
              <w:jc w:val="both"/>
              <w:rPr>
                <w:rFonts w:ascii="CorpoS" w:hAnsi="CorpoS"/>
                <w:i/>
                <w:szCs w:val="24"/>
                <w:lang w:val="de-DE"/>
              </w:rPr>
            </w:pPr>
          </w:p>
        </w:tc>
      </w:tr>
      <w:tr w:rsidR="007853A4" w:rsidRPr="00917308" w:rsidTr="00A03947">
        <w:tc>
          <w:tcPr>
            <w:tcW w:w="2689" w:type="dxa"/>
          </w:tcPr>
          <w:p w:rsidR="00F95111" w:rsidRPr="007853A4" w:rsidRDefault="00F95111" w:rsidP="001200C9">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Ersatzteilgeschäft</w:t>
            </w:r>
          </w:p>
        </w:tc>
        <w:tc>
          <w:tcPr>
            <w:tcW w:w="2976" w:type="dxa"/>
          </w:tcPr>
          <w:p w:rsidR="00F95111" w:rsidRPr="007853A4" w:rsidRDefault="00F95111" w:rsidP="00574868">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 xml:space="preserve">Anstieg im </w:t>
            </w:r>
            <w:r w:rsidR="00574868" w:rsidRPr="007853A4">
              <w:rPr>
                <w:rFonts w:ascii="CorpoS" w:hAnsi="CorpoS"/>
                <w:i/>
                <w:szCs w:val="24"/>
                <w:lang w:val="de-DE"/>
              </w:rPr>
              <w:t>hohen</w:t>
            </w:r>
            <w:r w:rsidRPr="007853A4">
              <w:rPr>
                <w:rFonts w:ascii="CorpoS" w:hAnsi="CorpoS"/>
                <w:i/>
                <w:szCs w:val="24"/>
                <w:lang w:val="de-DE"/>
              </w:rPr>
              <w:t xml:space="preserve"> Zehner-</w:t>
            </w:r>
            <w:r w:rsidR="00574868" w:rsidRPr="007853A4">
              <w:rPr>
                <w:rFonts w:ascii="CorpoS" w:hAnsi="CorpoS"/>
                <w:i/>
                <w:szCs w:val="24"/>
                <w:lang w:val="de-DE"/>
              </w:rPr>
              <w:t xml:space="preserve"> bis niedrigen Zwanziger-</w:t>
            </w:r>
            <w:r w:rsidRPr="007853A4">
              <w:rPr>
                <w:rFonts w:ascii="CorpoS" w:hAnsi="CorpoS"/>
                <w:i/>
                <w:szCs w:val="24"/>
                <w:lang w:val="de-DE"/>
              </w:rPr>
              <w:t>Prozentbereich</w:t>
            </w:r>
          </w:p>
        </w:tc>
        <w:tc>
          <w:tcPr>
            <w:tcW w:w="1843"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p>
        </w:tc>
        <w:tc>
          <w:tcPr>
            <w:tcW w:w="1837"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p>
        </w:tc>
      </w:tr>
      <w:tr w:rsidR="007853A4" w:rsidRPr="00917308" w:rsidTr="00A03947">
        <w:tc>
          <w:tcPr>
            <w:tcW w:w="2689"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Militärgeschäft</w:t>
            </w:r>
          </w:p>
        </w:tc>
        <w:tc>
          <w:tcPr>
            <w:tcW w:w="2976" w:type="dxa"/>
          </w:tcPr>
          <w:p w:rsidR="00F95111" w:rsidRPr="007853A4" w:rsidRDefault="00F95111" w:rsidP="00574868">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 xml:space="preserve">Anstieg im </w:t>
            </w:r>
            <w:r w:rsidR="00574868" w:rsidRPr="007853A4">
              <w:rPr>
                <w:rFonts w:ascii="CorpoS" w:hAnsi="CorpoS"/>
                <w:i/>
                <w:szCs w:val="24"/>
                <w:lang w:val="de-DE"/>
              </w:rPr>
              <w:t>mittleren</w:t>
            </w:r>
            <w:r w:rsidRPr="007853A4">
              <w:rPr>
                <w:rFonts w:ascii="CorpoS" w:hAnsi="CorpoS"/>
                <w:i/>
                <w:szCs w:val="24"/>
                <w:lang w:val="de-DE"/>
              </w:rPr>
              <w:t xml:space="preserve"> einstelligen Prozentbereich</w:t>
            </w:r>
          </w:p>
        </w:tc>
        <w:tc>
          <w:tcPr>
            <w:tcW w:w="1843"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p>
        </w:tc>
        <w:tc>
          <w:tcPr>
            <w:tcW w:w="1837"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p>
        </w:tc>
      </w:tr>
      <w:tr w:rsidR="007853A4" w:rsidRPr="00917308" w:rsidTr="00A03947">
        <w:tc>
          <w:tcPr>
            <w:tcW w:w="2689"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Zivile Instandhaltung</w:t>
            </w:r>
          </w:p>
        </w:tc>
        <w:tc>
          <w:tcPr>
            <w:tcW w:w="2976" w:type="dxa"/>
          </w:tcPr>
          <w:p w:rsidR="00F95111" w:rsidRPr="007853A4" w:rsidRDefault="00F95111" w:rsidP="00574868">
            <w:pPr>
              <w:tabs>
                <w:tab w:val="left" w:pos="7655"/>
                <w:tab w:val="left" w:pos="9072"/>
              </w:tabs>
              <w:spacing w:line="300" w:lineRule="exact"/>
              <w:ind w:right="283"/>
              <w:jc w:val="both"/>
              <w:rPr>
                <w:rFonts w:ascii="CorpoS" w:hAnsi="CorpoS"/>
                <w:i/>
                <w:szCs w:val="24"/>
                <w:lang w:val="de-DE"/>
              </w:rPr>
            </w:pPr>
            <w:r w:rsidRPr="007853A4">
              <w:rPr>
                <w:rFonts w:ascii="CorpoS" w:hAnsi="CorpoS"/>
                <w:i/>
                <w:szCs w:val="24"/>
                <w:lang w:val="de-DE"/>
              </w:rPr>
              <w:t xml:space="preserve">Anstieg im </w:t>
            </w:r>
            <w:r w:rsidR="00574868" w:rsidRPr="007853A4">
              <w:rPr>
                <w:rFonts w:ascii="CorpoS" w:hAnsi="CorpoS"/>
                <w:i/>
                <w:szCs w:val="24"/>
                <w:lang w:val="de-DE"/>
              </w:rPr>
              <w:t>hohen Zehner-Prozentbereich</w:t>
            </w:r>
          </w:p>
        </w:tc>
        <w:tc>
          <w:tcPr>
            <w:tcW w:w="1843"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p>
        </w:tc>
        <w:tc>
          <w:tcPr>
            <w:tcW w:w="1837" w:type="dxa"/>
          </w:tcPr>
          <w:p w:rsidR="00F95111" w:rsidRPr="007853A4" w:rsidRDefault="00F95111" w:rsidP="00F333A5">
            <w:pPr>
              <w:tabs>
                <w:tab w:val="left" w:pos="7655"/>
                <w:tab w:val="left" w:pos="9072"/>
              </w:tabs>
              <w:spacing w:line="300" w:lineRule="exact"/>
              <w:ind w:right="283"/>
              <w:jc w:val="both"/>
              <w:rPr>
                <w:rFonts w:ascii="CorpoS" w:hAnsi="CorpoS"/>
                <w:i/>
                <w:szCs w:val="24"/>
                <w:lang w:val="de-DE"/>
              </w:rPr>
            </w:pPr>
          </w:p>
        </w:tc>
      </w:tr>
      <w:tr w:rsidR="007853A4" w:rsidRPr="007853A4" w:rsidTr="00A03947">
        <w:tc>
          <w:tcPr>
            <w:tcW w:w="2689" w:type="dxa"/>
          </w:tcPr>
          <w:p w:rsidR="00F95111" w:rsidRPr="007853A4" w:rsidRDefault="00F95111" w:rsidP="00F333A5">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EBIT (bereinigt)</w:t>
            </w:r>
          </w:p>
        </w:tc>
        <w:tc>
          <w:tcPr>
            <w:tcW w:w="2976" w:type="dxa"/>
          </w:tcPr>
          <w:p w:rsidR="00F95111" w:rsidRPr="007853A4" w:rsidRDefault="00F95111" w:rsidP="00574868">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 xml:space="preserve">Anstieg im </w:t>
            </w:r>
            <w:r w:rsidR="00574868" w:rsidRPr="007853A4">
              <w:rPr>
                <w:rFonts w:ascii="CorpoS" w:hAnsi="CorpoS"/>
                <w:szCs w:val="24"/>
                <w:lang w:val="de-DE"/>
              </w:rPr>
              <w:t>niedrigen</w:t>
            </w:r>
            <w:r w:rsidRPr="007853A4">
              <w:rPr>
                <w:rFonts w:ascii="CorpoS" w:hAnsi="CorpoS"/>
                <w:szCs w:val="24"/>
                <w:lang w:val="de-DE"/>
              </w:rPr>
              <w:t xml:space="preserve"> Zwanziger-Prozentbereich</w:t>
            </w:r>
          </w:p>
        </w:tc>
        <w:tc>
          <w:tcPr>
            <w:tcW w:w="1843" w:type="dxa"/>
          </w:tcPr>
          <w:p w:rsidR="00F95111" w:rsidRPr="007853A4" w:rsidRDefault="00574868" w:rsidP="00F333A5">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Höher als 2019</w:t>
            </w:r>
          </w:p>
        </w:tc>
        <w:tc>
          <w:tcPr>
            <w:tcW w:w="1837" w:type="dxa"/>
          </w:tcPr>
          <w:p w:rsidR="00F95111" w:rsidRPr="007853A4" w:rsidRDefault="007853A4" w:rsidP="00F333A5">
            <w:pPr>
              <w:tabs>
                <w:tab w:val="left" w:pos="7655"/>
                <w:tab w:val="left" w:pos="9072"/>
              </w:tabs>
              <w:spacing w:line="300" w:lineRule="exact"/>
              <w:ind w:right="283"/>
              <w:jc w:val="both"/>
              <w:rPr>
                <w:rFonts w:ascii="CorpoS" w:hAnsi="CorpoS"/>
                <w:szCs w:val="24"/>
                <w:lang w:val="de-DE"/>
              </w:rPr>
            </w:pPr>
            <w:r w:rsidRPr="007853A4">
              <w:rPr>
                <w:rFonts w:ascii="CorpoS" w:hAnsi="CorpoS"/>
                <w:szCs w:val="24"/>
                <w:lang w:val="de-DE"/>
              </w:rPr>
              <w:t>Etwa 1 Mrd. €</w:t>
            </w:r>
          </w:p>
        </w:tc>
      </w:tr>
    </w:tbl>
    <w:p w:rsidR="00285633" w:rsidRPr="00BD6608" w:rsidRDefault="00285633" w:rsidP="00C51A14">
      <w:pPr>
        <w:tabs>
          <w:tab w:val="left" w:pos="7655"/>
          <w:tab w:val="left" w:pos="9072"/>
        </w:tabs>
        <w:spacing w:line="300" w:lineRule="exact"/>
        <w:ind w:right="283"/>
        <w:jc w:val="both"/>
        <w:rPr>
          <w:rFonts w:ascii="CorpoS" w:hAnsi="CorpoS"/>
          <w:sz w:val="22"/>
          <w:szCs w:val="22"/>
          <w:lang w:val="de-DE"/>
        </w:rPr>
      </w:pPr>
    </w:p>
    <w:p w:rsidR="00F41734" w:rsidRDefault="00F41734" w:rsidP="00F41734">
      <w:pPr>
        <w:ind w:right="1984"/>
        <w:jc w:val="both"/>
        <w:rPr>
          <w:rFonts w:ascii="CorpoS" w:hAnsi="CorpoS"/>
          <w:b/>
          <w:sz w:val="20"/>
          <w:u w:val="single"/>
          <w:lang w:val="de-DE"/>
        </w:rPr>
      </w:pPr>
    </w:p>
    <w:p w:rsidR="00F41734" w:rsidRDefault="00F41734" w:rsidP="00F41734">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rsidR="00F41734" w:rsidRPr="007425D1" w:rsidRDefault="00F41734" w:rsidP="00A73022">
      <w:pPr>
        <w:ind w:right="-1"/>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F41734" w:rsidRPr="007425D1" w:rsidRDefault="00F41734" w:rsidP="00F41734">
      <w:pPr>
        <w:ind w:right="424"/>
        <w:jc w:val="both"/>
        <w:rPr>
          <w:rFonts w:ascii="CorpoS" w:hAnsi="CorpoS" w:cs="Arial"/>
          <w:sz w:val="20"/>
          <w:lang w:val="de-DE"/>
        </w:rPr>
      </w:pPr>
    </w:p>
    <w:p w:rsidR="00F41734" w:rsidRPr="007425D1" w:rsidRDefault="00F41734" w:rsidP="00F41734">
      <w:pPr>
        <w:ind w:right="424"/>
        <w:jc w:val="both"/>
        <w:rPr>
          <w:rFonts w:ascii="CorpoS" w:hAnsi="CorpoS" w:cs="Arial"/>
          <w:sz w:val="20"/>
          <w:lang w:val="de-DE"/>
        </w:rPr>
      </w:pPr>
    </w:p>
    <w:p w:rsidR="00F41734" w:rsidRPr="006166B4" w:rsidRDefault="00F41734" w:rsidP="00F41734">
      <w:pPr>
        <w:rPr>
          <w:rFonts w:ascii="CorpoS" w:hAnsi="CorpoS"/>
          <w:sz w:val="20"/>
          <w:u w:val="single"/>
          <w:lang w:val="de-DE"/>
        </w:rPr>
      </w:pPr>
      <w:r w:rsidRPr="006166B4">
        <w:rPr>
          <w:rFonts w:ascii="CorpoS" w:hAnsi="CorpoS"/>
          <w:sz w:val="20"/>
          <w:u w:val="single"/>
          <w:lang w:val="de-DE"/>
        </w:rPr>
        <w:lastRenderedPageBreak/>
        <w:t>Ihre Ansprechpartner:</w:t>
      </w:r>
    </w:p>
    <w:p w:rsidR="00F41734" w:rsidRPr="006166B4" w:rsidRDefault="00F41734" w:rsidP="00F41734">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F41734" w:rsidRPr="006166B4" w:rsidRDefault="00F41734" w:rsidP="00F41734">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F41734" w:rsidRPr="00E942B3" w:rsidRDefault="00F41734" w:rsidP="00F41734">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F41734" w:rsidRPr="00E942B3" w:rsidRDefault="00F41734" w:rsidP="00F41734">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F41734" w:rsidRPr="006166B4" w:rsidRDefault="00F41734" w:rsidP="00F41734">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F41734" w:rsidRPr="006166B4" w:rsidRDefault="00F41734" w:rsidP="00F41734">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F41734" w:rsidRPr="006166B4" w:rsidRDefault="00F41734" w:rsidP="00F41734">
      <w:pPr>
        <w:rPr>
          <w:rFonts w:ascii="CorpoS" w:hAnsi="CorpoS"/>
          <w:szCs w:val="24"/>
          <w:u w:val="single"/>
          <w:lang w:val="de-DE"/>
        </w:rPr>
      </w:pPr>
    </w:p>
    <w:p w:rsidR="00F41734" w:rsidRPr="006166B4" w:rsidRDefault="00F41734" w:rsidP="00F41734">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F41734" w:rsidRPr="006166B4" w:rsidRDefault="00F41734" w:rsidP="00F41734">
      <w:pPr>
        <w:pStyle w:val="MTUBodycopy"/>
        <w:tabs>
          <w:tab w:val="left" w:pos="8505"/>
        </w:tabs>
        <w:ind w:right="1984"/>
        <w:jc w:val="both"/>
        <w:rPr>
          <w:i/>
          <w:lang w:val="de-DE"/>
        </w:rPr>
      </w:pPr>
    </w:p>
    <w:p w:rsidR="00F41734" w:rsidRPr="006166B4" w:rsidRDefault="00F41734" w:rsidP="00F41734">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F41734" w:rsidRPr="006166B4" w:rsidRDefault="00F41734" w:rsidP="00F41734">
      <w:pPr>
        <w:rPr>
          <w:rFonts w:ascii="CorpoS" w:hAnsi="CorpoS"/>
          <w:sz w:val="16"/>
          <w:szCs w:val="16"/>
          <w:lang w:val="de-DE"/>
        </w:rPr>
      </w:pPr>
    </w:p>
    <w:p w:rsidR="00F41734" w:rsidRPr="00C51A14" w:rsidRDefault="00F41734" w:rsidP="00A73022">
      <w:pPr>
        <w:ind w:right="-1"/>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p w:rsidR="00F41734" w:rsidRPr="00C51A14" w:rsidRDefault="00F41734" w:rsidP="00F41734">
      <w:pPr>
        <w:ind w:right="1984"/>
        <w:jc w:val="both"/>
        <w:rPr>
          <w:rFonts w:ascii="CorpoS" w:hAnsi="CorpoS"/>
          <w:b/>
          <w:sz w:val="22"/>
          <w:szCs w:val="22"/>
          <w:lang w:val="de-DE"/>
        </w:rPr>
      </w:pPr>
    </w:p>
    <w:p w:rsidR="00DD64E9" w:rsidRPr="00C51A14" w:rsidRDefault="00DD64E9" w:rsidP="00F41734">
      <w:pPr>
        <w:ind w:right="1984"/>
        <w:jc w:val="both"/>
        <w:rPr>
          <w:rFonts w:ascii="CorpoS" w:hAnsi="CorpoS"/>
          <w:b/>
          <w:sz w:val="22"/>
          <w:szCs w:val="22"/>
          <w:lang w:val="de-DE"/>
        </w:rPr>
      </w:pP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9D" w:rsidRDefault="00AC469D">
      <w:r>
        <w:separator/>
      </w:r>
    </w:p>
  </w:endnote>
  <w:endnote w:type="continuationSeparator" w:id="0">
    <w:p w:rsidR="00AC469D" w:rsidRDefault="00AC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rsidR="0095192C" w:rsidRPr="00150467" w:rsidRDefault="0095192C">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rsidR="0095192C" w:rsidRPr="00150467" w:rsidRDefault="0095192C">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95192C" w:rsidRDefault="0095192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95192C" w:rsidRDefault="0095192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9D" w:rsidRDefault="00AC469D">
      <w:r>
        <w:separator/>
      </w:r>
    </w:p>
  </w:footnote>
  <w:footnote w:type="continuationSeparator" w:id="0">
    <w:p w:rsidR="00AC469D" w:rsidRDefault="00AC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D228F6" wp14:editId="657A280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Pr="00A775D8" w:rsidRDefault="0095192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A5F6DE4" wp14:editId="5A077E45">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92C" w:rsidRPr="00507889" w:rsidRDefault="0095192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C8410FA" wp14:editId="218C46F3">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C" w:rsidRPr="00550454" w:rsidRDefault="0095192C"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Pr="00550454">
                            <w:rPr>
                              <w:rFonts w:ascii="CorpoSLig" w:hAnsi="CorpoSLig"/>
                              <w:b/>
                              <w:sz w:val="32"/>
                              <w:szCs w:val="32"/>
                            </w:rPr>
                            <w:t>Release</w:t>
                          </w:r>
                        </w:p>
                        <w:p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410F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550454" w:rsidRDefault="0095192C"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Pr="00550454">
                      <w:rPr>
                        <w:rFonts w:ascii="CorpoSLig" w:hAnsi="CorpoSLig"/>
                        <w:b/>
                        <w:sz w:val="32"/>
                        <w:szCs w:val="32"/>
                      </w:rPr>
                      <w:t>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D8AA322" wp14:editId="6AA1146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2FC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50EB"/>
    <w:rsid w:val="00007718"/>
    <w:rsid w:val="00007F76"/>
    <w:rsid w:val="00010145"/>
    <w:rsid w:val="00010BAE"/>
    <w:rsid w:val="00014216"/>
    <w:rsid w:val="00014295"/>
    <w:rsid w:val="0001625B"/>
    <w:rsid w:val="000165E8"/>
    <w:rsid w:val="00017987"/>
    <w:rsid w:val="0002022E"/>
    <w:rsid w:val="00020CA2"/>
    <w:rsid w:val="00026E42"/>
    <w:rsid w:val="00031070"/>
    <w:rsid w:val="00031ACB"/>
    <w:rsid w:val="00034C1E"/>
    <w:rsid w:val="0004012A"/>
    <w:rsid w:val="0004088F"/>
    <w:rsid w:val="00041CEC"/>
    <w:rsid w:val="000421FB"/>
    <w:rsid w:val="00042608"/>
    <w:rsid w:val="000468B9"/>
    <w:rsid w:val="00046D7A"/>
    <w:rsid w:val="00050992"/>
    <w:rsid w:val="00051E60"/>
    <w:rsid w:val="00052770"/>
    <w:rsid w:val="00053AE0"/>
    <w:rsid w:val="00053D85"/>
    <w:rsid w:val="00065075"/>
    <w:rsid w:val="000653A2"/>
    <w:rsid w:val="00065488"/>
    <w:rsid w:val="0006552A"/>
    <w:rsid w:val="000706B8"/>
    <w:rsid w:val="00072045"/>
    <w:rsid w:val="00073BEA"/>
    <w:rsid w:val="00073DD8"/>
    <w:rsid w:val="00074142"/>
    <w:rsid w:val="000746AA"/>
    <w:rsid w:val="00074F55"/>
    <w:rsid w:val="0007603C"/>
    <w:rsid w:val="00084883"/>
    <w:rsid w:val="000860C0"/>
    <w:rsid w:val="000927B0"/>
    <w:rsid w:val="000939E0"/>
    <w:rsid w:val="00094DD7"/>
    <w:rsid w:val="00095107"/>
    <w:rsid w:val="00095C96"/>
    <w:rsid w:val="000968D4"/>
    <w:rsid w:val="000A050F"/>
    <w:rsid w:val="000A1616"/>
    <w:rsid w:val="000A6390"/>
    <w:rsid w:val="000A65E0"/>
    <w:rsid w:val="000B052E"/>
    <w:rsid w:val="000B2DE3"/>
    <w:rsid w:val="000B4D33"/>
    <w:rsid w:val="000B5FA3"/>
    <w:rsid w:val="000B67F6"/>
    <w:rsid w:val="000B75C0"/>
    <w:rsid w:val="000C09A7"/>
    <w:rsid w:val="000C1A76"/>
    <w:rsid w:val="000C21BA"/>
    <w:rsid w:val="000C4212"/>
    <w:rsid w:val="000C4939"/>
    <w:rsid w:val="000C71C8"/>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51B1"/>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26FF9"/>
    <w:rsid w:val="00132F2F"/>
    <w:rsid w:val="00141BAC"/>
    <w:rsid w:val="00143677"/>
    <w:rsid w:val="00144D88"/>
    <w:rsid w:val="00147F55"/>
    <w:rsid w:val="00150467"/>
    <w:rsid w:val="00151E2A"/>
    <w:rsid w:val="00156346"/>
    <w:rsid w:val="00161E32"/>
    <w:rsid w:val="001622D3"/>
    <w:rsid w:val="00163004"/>
    <w:rsid w:val="00170367"/>
    <w:rsid w:val="00172C9C"/>
    <w:rsid w:val="00173DD3"/>
    <w:rsid w:val="00174B20"/>
    <w:rsid w:val="00176577"/>
    <w:rsid w:val="001800ED"/>
    <w:rsid w:val="001802C4"/>
    <w:rsid w:val="00181D71"/>
    <w:rsid w:val="001837BB"/>
    <w:rsid w:val="001877EE"/>
    <w:rsid w:val="001938FE"/>
    <w:rsid w:val="00197CF5"/>
    <w:rsid w:val="001A47CB"/>
    <w:rsid w:val="001A54A7"/>
    <w:rsid w:val="001B1501"/>
    <w:rsid w:val="001B1A7D"/>
    <w:rsid w:val="001B1AE3"/>
    <w:rsid w:val="001B21AD"/>
    <w:rsid w:val="001B434D"/>
    <w:rsid w:val="001B44D2"/>
    <w:rsid w:val="001B4E52"/>
    <w:rsid w:val="001C403E"/>
    <w:rsid w:val="001C53D3"/>
    <w:rsid w:val="001C5559"/>
    <w:rsid w:val="001C5F28"/>
    <w:rsid w:val="001C651B"/>
    <w:rsid w:val="001C6A69"/>
    <w:rsid w:val="001C725D"/>
    <w:rsid w:val="001D120F"/>
    <w:rsid w:val="001D2959"/>
    <w:rsid w:val="001D437B"/>
    <w:rsid w:val="001D4D29"/>
    <w:rsid w:val="001D5D33"/>
    <w:rsid w:val="001E053A"/>
    <w:rsid w:val="001E0F56"/>
    <w:rsid w:val="001E4AE2"/>
    <w:rsid w:val="001E5591"/>
    <w:rsid w:val="001E56B3"/>
    <w:rsid w:val="001E5784"/>
    <w:rsid w:val="001E6042"/>
    <w:rsid w:val="001E71BD"/>
    <w:rsid w:val="001F304E"/>
    <w:rsid w:val="001F4294"/>
    <w:rsid w:val="001F5A14"/>
    <w:rsid w:val="002037D9"/>
    <w:rsid w:val="00204B1C"/>
    <w:rsid w:val="0021191F"/>
    <w:rsid w:val="0021633B"/>
    <w:rsid w:val="00222DEF"/>
    <w:rsid w:val="0022336E"/>
    <w:rsid w:val="00224550"/>
    <w:rsid w:val="00224BEC"/>
    <w:rsid w:val="00226166"/>
    <w:rsid w:val="00226271"/>
    <w:rsid w:val="002335C6"/>
    <w:rsid w:val="00233F66"/>
    <w:rsid w:val="002342A4"/>
    <w:rsid w:val="00236E3A"/>
    <w:rsid w:val="00237253"/>
    <w:rsid w:val="00237422"/>
    <w:rsid w:val="00243792"/>
    <w:rsid w:val="002437A1"/>
    <w:rsid w:val="002437FE"/>
    <w:rsid w:val="00245B50"/>
    <w:rsid w:val="002512F6"/>
    <w:rsid w:val="00251399"/>
    <w:rsid w:val="00252060"/>
    <w:rsid w:val="00254406"/>
    <w:rsid w:val="00254EE7"/>
    <w:rsid w:val="00256BAD"/>
    <w:rsid w:val="00261A60"/>
    <w:rsid w:val="002654C2"/>
    <w:rsid w:val="002675FE"/>
    <w:rsid w:val="00270DD3"/>
    <w:rsid w:val="002718AC"/>
    <w:rsid w:val="00273AE0"/>
    <w:rsid w:val="00280197"/>
    <w:rsid w:val="00281AA0"/>
    <w:rsid w:val="0028258E"/>
    <w:rsid w:val="00283DE0"/>
    <w:rsid w:val="00285633"/>
    <w:rsid w:val="002864DF"/>
    <w:rsid w:val="00290FE6"/>
    <w:rsid w:val="00291085"/>
    <w:rsid w:val="0029213E"/>
    <w:rsid w:val="0029575D"/>
    <w:rsid w:val="00296646"/>
    <w:rsid w:val="002966FA"/>
    <w:rsid w:val="00297217"/>
    <w:rsid w:val="002A3DF2"/>
    <w:rsid w:val="002A4079"/>
    <w:rsid w:val="002A57D3"/>
    <w:rsid w:val="002A63C8"/>
    <w:rsid w:val="002B2710"/>
    <w:rsid w:val="002B3300"/>
    <w:rsid w:val="002B6B5C"/>
    <w:rsid w:val="002B7FD7"/>
    <w:rsid w:val="002C1173"/>
    <w:rsid w:val="002C187E"/>
    <w:rsid w:val="002C2796"/>
    <w:rsid w:val="002C3218"/>
    <w:rsid w:val="002C3897"/>
    <w:rsid w:val="002C6BB7"/>
    <w:rsid w:val="002D758E"/>
    <w:rsid w:val="002E028E"/>
    <w:rsid w:val="002E26A8"/>
    <w:rsid w:val="002E2DB5"/>
    <w:rsid w:val="002E3646"/>
    <w:rsid w:val="002E5784"/>
    <w:rsid w:val="002E648F"/>
    <w:rsid w:val="002F08EC"/>
    <w:rsid w:val="002F38FF"/>
    <w:rsid w:val="002F76AF"/>
    <w:rsid w:val="002F79BB"/>
    <w:rsid w:val="00300A57"/>
    <w:rsid w:val="003018DF"/>
    <w:rsid w:val="00301C3F"/>
    <w:rsid w:val="0030458D"/>
    <w:rsid w:val="00304933"/>
    <w:rsid w:val="00305E13"/>
    <w:rsid w:val="00310230"/>
    <w:rsid w:val="00310B01"/>
    <w:rsid w:val="00310E95"/>
    <w:rsid w:val="00311CAE"/>
    <w:rsid w:val="00312B14"/>
    <w:rsid w:val="00315DEF"/>
    <w:rsid w:val="00316554"/>
    <w:rsid w:val="0032019A"/>
    <w:rsid w:val="00322F67"/>
    <w:rsid w:val="00324FB1"/>
    <w:rsid w:val="00325951"/>
    <w:rsid w:val="00326FA3"/>
    <w:rsid w:val="003303C8"/>
    <w:rsid w:val="003306E0"/>
    <w:rsid w:val="003310E2"/>
    <w:rsid w:val="003329A3"/>
    <w:rsid w:val="00332B8F"/>
    <w:rsid w:val="0033394A"/>
    <w:rsid w:val="0033551C"/>
    <w:rsid w:val="0033584F"/>
    <w:rsid w:val="0033739C"/>
    <w:rsid w:val="00337914"/>
    <w:rsid w:val="003423A0"/>
    <w:rsid w:val="00342A55"/>
    <w:rsid w:val="00343C99"/>
    <w:rsid w:val="00343DB0"/>
    <w:rsid w:val="00344B08"/>
    <w:rsid w:val="00344B4C"/>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2B3F"/>
    <w:rsid w:val="00377475"/>
    <w:rsid w:val="0038142E"/>
    <w:rsid w:val="003819E0"/>
    <w:rsid w:val="003839FD"/>
    <w:rsid w:val="003875F7"/>
    <w:rsid w:val="00390A09"/>
    <w:rsid w:val="00392F50"/>
    <w:rsid w:val="003957CF"/>
    <w:rsid w:val="00395D27"/>
    <w:rsid w:val="003A20E2"/>
    <w:rsid w:val="003A2477"/>
    <w:rsid w:val="003A2718"/>
    <w:rsid w:val="003A5EDA"/>
    <w:rsid w:val="003A74C1"/>
    <w:rsid w:val="003A74F5"/>
    <w:rsid w:val="003A76AD"/>
    <w:rsid w:val="003B2216"/>
    <w:rsid w:val="003B2492"/>
    <w:rsid w:val="003B29C2"/>
    <w:rsid w:val="003B6AB4"/>
    <w:rsid w:val="003B6BFB"/>
    <w:rsid w:val="003B6D76"/>
    <w:rsid w:val="003C1344"/>
    <w:rsid w:val="003D1233"/>
    <w:rsid w:val="003D274C"/>
    <w:rsid w:val="003D33B5"/>
    <w:rsid w:val="003D5871"/>
    <w:rsid w:val="003D7AAE"/>
    <w:rsid w:val="003E1CF0"/>
    <w:rsid w:val="003E2208"/>
    <w:rsid w:val="003E220C"/>
    <w:rsid w:val="003E23F9"/>
    <w:rsid w:val="003E3341"/>
    <w:rsid w:val="003E4C71"/>
    <w:rsid w:val="003E7697"/>
    <w:rsid w:val="003E78C5"/>
    <w:rsid w:val="003F3C37"/>
    <w:rsid w:val="00402971"/>
    <w:rsid w:val="004044E9"/>
    <w:rsid w:val="004050D1"/>
    <w:rsid w:val="00405869"/>
    <w:rsid w:val="00406250"/>
    <w:rsid w:val="00410940"/>
    <w:rsid w:val="00415D3F"/>
    <w:rsid w:val="00416CE4"/>
    <w:rsid w:val="004203A5"/>
    <w:rsid w:val="00421D92"/>
    <w:rsid w:val="00422193"/>
    <w:rsid w:val="004232FE"/>
    <w:rsid w:val="004238EB"/>
    <w:rsid w:val="00424F72"/>
    <w:rsid w:val="0043198B"/>
    <w:rsid w:val="00433A66"/>
    <w:rsid w:val="004429B1"/>
    <w:rsid w:val="004446FE"/>
    <w:rsid w:val="00444D67"/>
    <w:rsid w:val="004470D8"/>
    <w:rsid w:val="0045168C"/>
    <w:rsid w:val="00453C3F"/>
    <w:rsid w:val="00454081"/>
    <w:rsid w:val="00456BA4"/>
    <w:rsid w:val="00460017"/>
    <w:rsid w:val="00462E55"/>
    <w:rsid w:val="0046413D"/>
    <w:rsid w:val="00466DC0"/>
    <w:rsid w:val="0047165E"/>
    <w:rsid w:val="00475E50"/>
    <w:rsid w:val="00476248"/>
    <w:rsid w:val="00481764"/>
    <w:rsid w:val="0048499B"/>
    <w:rsid w:val="00487DDA"/>
    <w:rsid w:val="004907AE"/>
    <w:rsid w:val="00490BB2"/>
    <w:rsid w:val="00490C18"/>
    <w:rsid w:val="00494B76"/>
    <w:rsid w:val="00495D29"/>
    <w:rsid w:val="004966DC"/>
    <w:rsid w:val="00497A32"/>
    <w:rsid w:val="004A092E"/>
    <w:rsid w:val="004B496B"/>
    <w:rsid w:val="004B5C4C"/>
    <w:rsid w:val="004B5EFE"/>
    <w:rsid w:val="004B665D"/>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4F7648"/>
    <w:rsid w:val="0050557B"/>
    <w:rsid w:val="00506AE0"/>
    <w:rsid w:val="00507889"/>
    <w:rsid w:val="00510172"/>
    <w:rsid w:val="005106C2"/>
    <w:rsid w:val="00511729"/>
    <w:rsid w:val="00513ADD"/>
    <w:rsid w:val="00514F13"/>
    <w:rsid w:val="005159F9"/>
    <w:rsid w:val="005200F5"/>
    <w:rsid w:val="00522C52"/>
    <w:rsid w:val="00526D8D"/>
    <w:rsid w:val="00531724"/>
    <w:rsid w:val="00532315"/>
    <w:rsid w:val="00535EDA"/>
    <w:rsid w:val="0054129D"/>
    <w:rsid w:val="005414A3"/>
    <w:rsid w:val="0054532F"/>
    <w:rsid w:val="00545B78"/>
    <w:rsid w:val="00550454"/>
    <w:rsid w:val="005504E4"/>
    <w:rsid w:val="005519BB"/>
    <w:rsid w:val="0055464F"/>
    <w:rsid w:val="00556F66"/>
    <w:rsid w:val="005660B5"/>
    <w:rsid w:val="0056770E"/>
    <w:rsid w:val="00567B1D"/>
    <w:rsid w:val="00572802"/>
    <w:rsid w:val="00574868"/>
    <w:rsid w:val="0057799D"/>
    <w:rsid w:val="00583EE9"/>
    <w:rsid w:val="00583F6B"/>
    <w:rsid w:val="00584264"/>
    <w:rsid w:val="0059125E"/>
    <w:rsid w:val="00591762"/>
    <w:rsid w:val="005934BB"/>
    <w:rsid w:val="005A006F"/>
    <w:rsid w:val="005A1451"/>
    <w:rsid w:val="005A280D"/>
    <w:rsid w:val="005A3604"/>
    <w:rsid w:val="005A4152"/>
    <w:rsid w:val="005A75B7"/>
    <w:rsid w:val="005B045C"/>
    <w:rsid w:val="005B1253"/>
    <w:rsid w:val="005B1496"/>
    <w:rsid w:val="005B4229"/>
    <w:rsid w:val="005B4399"/>
    <w:rsid w:val="005B4F69"/>
    <w:rsid w:val="005B7771"/>
    <w:rsid w:val="005C2EC5"/>
    <w:rsid w:val="005C4C5C"/>
    <w:rsid w:val="005C6A8C"/>
    <w:rsid w:val="005C72C5"/>
    <w:rsid w:val="005D0B30"/>
    <w:rsid w:val="005D1477"/>
    <w:rsid w:val="005D2F3B"/>
    <w:rsid w:val="005D3B31"/>
    <w:rsid w:val="005D4D3E"/>
    <w:rsid w:val="005D644D"/>
    <w:rsid w:val="005D737B"/>
    <w:rsid w:val="005E1D59"/>
    <w:rsid w:val="005E2F6D"/>
    <w:rsid w:val="005E3FE9"/>
    <w:rsid w:val="005E64C5"/>
    <w:rsid w:val="005E762C"/>
    <w:rsid w:val="005F1A59"/>
    <w:rsid w:val="005F55C7"/>
    <w:rsid w:val="005F653E"/>
    <w:rsid w:val="005F6B07"/>
    <w:rsid w:val="005F6FFC"/>
    <w:rsid w:val="005F775A"/>
    <w:rsid w:val="005F7800"/>
    <w:rsid w:val="0060061A"/>
    <w:rsid w:val="00601381"/>
    <w:rsid w:val="0060201F"/>
    <w:rsid w:val="00602DEE"/>
    <w:rsid w:val="00603DF3"/>
    <w:rsid w:val="00607764"/>
    <w:rsid w:val="00610CEE"/>
    <w:rsid w:val="006140A4"/>
    <w:rsid w:val="00614A3F"/>
    <w:rsid w:val="00614F51"/>
    <w:rsid w:val="006156F6"/>
    <w:rsid w:val="00616F28"/>
    <w:rsid w:val="00617CAA"/>
    <w:rsid w:val="00623E6F"/>
    <w:rsid w:val="006253FC"/>
    <w:rsid w:val="00630AAF"/>
    <w:rsid w:val="00630AFC"/>
    <w:rsid w:val="00632904"/>
    <w:rsid w:val="00633E84"/>
    <w:rsid w:val="0063592C"/>
    <w:rsid w:val="00636522"/>
    <w:rsid w:val="006379B7"/>
    <w:rsid w:val="00640206"/>
    <w:rsid w:val="00645AA4"/>
    <w:rsid w:val="006466E5"/>
    <w:rsid w:val="0064798B"/>
    <w:rsid w:val="006514A1"/>
    <w:rsid w:val="0065197B"/>
    <w:rsid w:val="0065327F"/>
    <w:rsid w:val="00654EEF"/>
    <w:rsid w:val="0066163D"/>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D3247"/>
    <w:rsid w:val="006E0101"/>
    <w:rsid w:val="006E141E"/>
    <w:rsid w:val="006E1D8B"/>
    <w:rsid w:val="006E6D73"/>
    <w:rsid w:val="006F735B"/>
    <w:rsid w:val="006F76F1"/>
    <w:rsid w:val="00701CD1"/>
    <w:rsid w:val="00702055"/>
    <w:rsid w:val="0070220C"/>
    <w:rsid w:val="0070360F"/>
    <w:rsid w:val="00704C20"/>
    <w:rsid w:val="00706897"/>
    <w:rsid w:val="007068CC"/>
    <w:rsid w:val="00712F46"/>
    <w:rsid w:val="00716EEA"/>
    <w:rsid w:val="007174B3"/>
    <w:rsid w:val="00722873"/>
    <w:rsid w:val="0072741F"/>
    <w:rsid w:val="007279DA"/>
    <w:rsid w:val="00734E9B"/>
    <w:rsid w:val="00742443"/>
    <w:rsid w:val="00742754"/>
    <w:rsid w:val="00742FCE"/>
    <w:rsid w:val="007527E9"/>
    <w:rsid w:val="00755EB4"/>
    <w:rsid w:val="007575AF"/>
    <w:rsid w:val="00757670"/>
    <w:rsid w:val="00760EE0"/>
    <w:rsid w:val="00761A2B"/>
    <w:rsid w:val="0076577A"/>
    <w:rsid w:val="00766743"/>
    <w:rsid w:val="007719C7"/>
    <w:rsid w:val="00772834"/>
    <w:rsid w:val="007729D7"/>
    <w:rsid w:val="007734E7"/>
    <w:rsid w:val="00774DA9"/>
    <w:rsid w:val="00777308"/>
    <w:rsid w:val="0077756B"/>
    <w:rsid w:val="007801BC"/>
    <w:rsid w:val="00783811"/>
    <w:rsid w:val="007853A4"/>
    <w:rsid w:val="0078769A"/>
    <w:rsid w:val="007902FC"/>
    <w:rsid w:val="007908C0"/>
    <w:rsid w:val="0079113C"/>
    <w:rsid w:val="0079424F"/>
    <w:rsid w:val="00795E58"/>
    <w:rsid w:val="007A0340"/>
    <w:rsid w:val="007A0798"/>
    <w:rsid w:val="007A097C"/>
    <w:rsid w:val="007A2358"/>
    <w:rsid w:val="007A3449"/>
    <w:rsid w:val="007A63C5"/>
    <w:rsid w:val="007A7E57"/>
    <w:rsid w:val="007B1097"/>
    <w:rsid w:val="007B1A7A"/>
    <w:rsid w:val="007B1BE7"/>
    <w:rsid w:val="007B2D99"/>
    <w:rsid w:val="007B301A"/>
    <w:rsid w:val="007B36B4"/>
    <w:rsid w:val="007C0D1C"/>
    <w:rsid w:val="007C5879"/>
    <w:rsid w:val="007D020C"/>
    <w:rsid w:val="007D3740"/>
    <w:rsid w:val="007D3742"/>
    <w:rsid w:val="007D4A4F"/>
    <w:rsid w:val="007D4FCF"/>
    <w:rsid w:val="007D5ABB"/>
    <w:rsid w:val="007D666E"/>
    <w:rsid w:val="007D6BD6"/>
    <w:rsid w:val="007E0312"/>
    <w:rsid w:val="007E1570"/>
    <w:rsid w:val="007E1CA8"/>
    <w:rsid w:val="007E25F1"/>
    <w:rsid w:val="007E7CA5"/>
    <w:rsid w:val="007F1881"/>
    <w:rsid w:val="007F194B"/>
    <w:rsid w:val="007F3FA3"/>
    <w:rsid w:val="007F5DED"/>
    <w:rsid w:val="00804AFD"/>
    <w:rsid w:val="00804FBC"/>
    <w:rsid w:val="00805FAF"/>
    <w:rsid w:val="008064CE"/>
    <w:rsid w:val="00806654"/>
    <w:rsid w:val="00812E8C"/>
    <w:rsid w:val="00813E80"/>
    <w:rsid w:val="008163EE"/>
    <w:rsid w:val="008168F1"/>
    <w:rsid w:val="00816A3A"/>
    <w:rsid w:val="00817CEE"/>
    <w:rsid w:val="00820719"/>
    <w:rsid w:val="00821A96"/>
    <w:rsid w:val="00822796"/>
    <w:rsid w:val="00822DF7"/>
    <w:rsid w:val="00825612"/>
    <w:rsid w:val="00826A11"/>
    <w:rsid w:val="008271DD"/>
    <w:rsid w:val="00827E3C"/>
    <w:rsid w:val="00831FA3"/>
    <w:rsid w:val="00832937"/>
    <w:rsid w:val="00833404"/>
    <w:rsid w:val="00833EE8"/>
    <w:rsid w:val="00835CAF"/>
    <w:rsid w:val="00837CB6"/>
    <w:rsid w:val="00840ED4"/>
    <w:rsid w:val="008418A1"/>
    <w:rsid w:val="008418A3"/>
    <w:rsid w:val="0084218C"/>
    <w:rsid w:val="00844B0A"/>
    <w:rsid w:val="00846648"/>
    <w:rsid w:val="00846A44"/>
    <w:rsid w:val="00846D10"/>
    <w:rsid w:val="00851896"/>
    <w:rsid w:val="00853255"/>
    <w:rsid w:val="0085541A"/>
    <w:rsid w:val="00855DF1"/>
    <w:rsid w:val="0086110A"/>
    <w:rsid w:val="008612D6"/>
    <w:rsid w:val="00861B6F"/>
    <w:rsid w:val="008630C4"/>
    <w:rsid w:val="00864949"/>
    <w:rsid w:val="00872C46"/>
    <w:rsid w:val="00875D2C"/>
    <w:rsid w:val="00880619"/>
    <w:rsid w:val="008825DD"/>
    <w:rsid w:val="00884707"/>
    <w:rsid w:val="00885967"/>
    <w:rsid w:val="008877D4"/>
    <w:rsid w:val="008879C4"/>
    <w:rsid w:val="00890786"/>
    <w:rsid w:val="00890BCF"/>
    <w:rsid w:val="00891FF5"/>
    <w:rsid w:val="008944CD"/>
    <w:rsid w:val="00897BC6"/>
    <w:rsid w:val="008A0A80"/>
    <w:rsid w:val="008A0E7A"/>
    <w:rsid w:val="008A1E29"/>
    <w:rsid w:val="008A365C"/>
    <w:rsid w:val="008A49FA"/>
    <w:rsid w:val="008A5A64"/>
    <w:rsid w:val="008A5EAE"/>
    <w:rsid w:val="008A6D05"/>
    <w:rsid w:val="008B2068"/>
    <w:rsid w:val="008B4FB6"/>
    <w:rsid w:val="008B6409"/>
    <w:rsid w:val="008B64BE"/>
    <w:rsid w:val="008B70A2"/>
    <w:rsid w:val="008C2911"/>
    <w:rsid w:val="008C2D2D"/>
    <w:rsid w:val="008C3580"/>
    <w:rsid w:val="008C7FB8"/>
    <w:rsid w:val="008D122C"/>
    <w:rsid w:val="008D1722"/>
    <w:rsid w:val="008D3F07"/>
    <w:rsid w:val="008D56E3"/>
    <w:rsid w:val="008D5F6B"/>
    <w:rsid w:val="008D7CDD"/>
    <w:rsid w:val="008E3B41"/>
    <w:rsid w:val="008E48CF"/>
    <w:rsid w:val="008F0DAC"/>
    <w:rsid w:val="008F4059"/>
    <w:rsid w:val="008F4BA2"/>
    <w:rsid w:val="00907BC3"/>
    <w:rsid w:val="00914C01"/>
    <w:rsid w:val="00917308"/>
    <w:rsid w:val="00917918"/>
    <w:rsid w:val="009206E6"/>
    <w:rsid w:val="00922889"/>
    <w:rsid w:val="00923D30"/>
    <w:rsid w:val="0092750A"/>
    <w:rsid w:val="00932903"/>
    <w:rsid w:val="0093526E"/>
    <w:rsid w:val="00936459"/>
    <w:rsid w:val="009417A2"/>
    <w:rsid w:val="009436EA"/>
    <w:rsid w:val="00944FAD"/>
    <w:rsid w:val="009451BC"/>
    <w:rsid w:val="009465F4"/>
    <w:rsid w:val="00946D8D"/>
    <w:rsid w:val="00947620"/>
    <w:rsid w:val="00947BA9"/>
    <w:rsid w:val="00950960"/>
    <w:rsid w:val="009510EF"/>
    <w:rsid w:val="0095192C"/>
    <w:rsid w:val="009528E0"/>
    <w:rsid w:val="00953872"/>
    <w:rsid w:val="00953F4D"/>
    <w:rsid w:val="00955146"/>
    <w:rsid w:val="00956671"/>
    <w:rsid w:val="00960F63"/>
    <w:rsid w:val="0096124D"/>
    <w:rsid w:val="00962C3D"/>
    <w:rsid w:val="00963D45"/>
    <w:rsid w:val="0096629A"/>
    <w:rsid w:val="00970F2A"/>
    <w:rsid w:val="00971E42"/>
    <w:rsid w:val="00973435"/>
    <w:rsid w:val="00973C57"/>
    <w:rsid w:val="00974D59"/>
    <w:rsid w:val="00977BA5"/>
    <w:rsid w:val="00977BC9"/>
    <w:rsid w:val="00982B92"/>
    <w:rsid w:val="00984BD9"/>
    <w:rsid w:val="00991E03"/>
    <w:rsid w:val="00992CD8"/>
    <w:rsid w:val="00993D5F"/>
    <w:rsid w:val="00994D72"/>
    <w:rsid w:val="009959F2"/>
    <w:rsid w:val="00995C51"/>
    <w:rsid w:val="0099749E"/>
    <w:rsid w:val="00997AC3"/>
    <w:rsid w:val="009B04DF"/>
    <w:rsid w:val="009B0949"/>
    <w:rsid w:val="009B0DD6"/>
    <w:rsid w:val="009B22E6"/>
    <w:rsid w:val="009B248F"/>
    <w:rsid w:val="009B4DFE"/>
    <w:rsid w:val="009B609B"/>
    <w:rsid w:val="009B69B0"/>
    <w:rsid w:val="009B7D07"/>
    <w:rsid w:val="009C049E"/>
    <w:rsid w:val="009C19B6"/>
    <w:rsid w:val="009C3C0D"/>
    <w:rsid w:val="009D2AF7"/>
    <w:rsid w:val="009D35D0"/>
    <w:rsid w:val="009D6E33"/>
    <w:rsid w:val="009E0A17"/>
    <w:rsid w:val="009E2D48"/>
    <w:rsid w:val="009E4721"/>
    <w:rsid w:val="009E481E"/>
    <w:rsid w:val="009E49E6"/>
    <w:rsid w:val="009E566C"/>
    <w:rsid w:val="009E62BA"/>
    <w:rsid w:val="009F3BD2"/>
    <w:rsid w:val="009F448D"/>
    <w:rsid w:val="009F59E0"/>
    <w:rsid w:val="00A00915"/>
    <w:rsid w:val="00A0180E"/>
    <w:rsid w:val="00A03882"/>
    <w:rsid w:val="00A03947"/>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31B"/>
    <w:rsid w:val="00A54C34"/>
    <w:rsid w:val="00A55138"/>
    <w:rsid w:val="00A62346"/>
    <w:rsid w:val="00A6393A"/>
    <w:rsid w:val="00A64FB8"/>
    <w:rsid w:val="00A65E3C"/>
    <w:rsid w:val="00A66252"/>
    <w:rsid w:val="00A70147"/>
    <w:rsid w:val="00A711C6"/>
    <w:rsid w:val="00A73022"/>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469D"/>
    <w:rsid w:val="00AC58BD"/>
    <w:rsid w:val="00AC778C"/>
    <w:rsid w:val="00AD19E6"/>
    <w:rsid w:val="00AD3CD0"/>
    <w:rsid w:val="00AD7224"/>
    <w:rsid w:val="00AD78EF"/>
    <w:rsid w:val="00AE6BDA"/>
    <w:rsid w:val="00AF148F"/>
    <w:rsid w:val="00AF2BE8"/>
    <w:rsid w:val="00AF5759"/>
    <w:rsid w:val="00AF5C7C"/>
    <w:rsid w:val="00AF74CB"/>
    <w:rsid w:val="00AF7961"/>
    <w:rsid w:val="00B0190F"/>
    <w:rsid w:val="00B03ED1"/>
    <w:rsid w:val="00B040EC"/>
    <w:rsid w:val="00B05CE3"/>
    <w:rsid w:val="00B06253"/>
    <w:rsid w:val="00B06F7B"/>
    <w:rsid w:val="00B076D6"/>
    <w:rsid w:val="00B121FD"/>
    <w:rsid w:val="00B12B4A"/>
    <w:rsid w:val="00B14568"/>
    <w:rsid w:val="00B17715"/>
    <w:rsid w:val="00B22562"/>
    <w:rsid w:val="00B23B61"/>
    <w:rsid w:val="00B248E8"/>
    <w:rsid w:val="00B436ED"/>
    <w:rsid w:val="00B43819"/>
    <w:rsid w:val="00B45093"/>
    <w:rsid w:val="00B47642"/>
    <w:rsid w:val="00B51A82"/>
    <w:rsid w:val="00B531A8"/>
    <w:rsid w:val="00B55AB6"/>
    <w:rsid w:val="00B57AE5"/>
    <w:rsid w:val="00B60E2E"/>
    <w:rsid w:val="00B61CC4"/>
    <w:rsid w:val="00B652CF"/>
    <w:rsid w:val="00B67E21"/>
    <w:rsid w:val="00B71385"/>
    <w:rsid w:val="00B71E2B"/>
    <w:rsid w:val="00B72BDB"/>
    <w:rsid w:val="00B73DCC"/>
    <w:rsid w:val="00B773E8"/>
    <w:rsid w:val="00B8002F"/>
    <w:rsid w:val="00B800D4"/>
    <w:rsid w:val="00B81C0E"/>
    <w:rsid w:val="00B82437"/>
    <w:rsid w:val="00B82B40"/>
    <w:rsid w:val="00B87AF1"/>
    <w:rsid w:val="00B91284"/>
    <w:rsid w:val="00B94466"/>
    <w:rsid w:val="00B94952"/>
    <w:rsid w:val="00B977C5"/>
    <w:rsid w:val="00BA047C"/>
    <w:rsid w:val="00BA224A"/>
    <w:rsid w:val="00BA326C"/>
    <w:rsid w:val="00BA5E62"/>
    <w:rsid w:val="00BA6BBE"/>
    <w:rsid w:val="00BB1126"/>
    <w:rsid w:val="00BB2E97"/>
    <w:rsid w:val="00BB5475"/>
    <w:rsid w:val="00BB5BB1"/>
    <w:rsid w:val="00BB5BC7"/>
    <w:rsid w:val="00BC0404"/>
    <w:rsid w:val="00BC0EFB"/>
    <w:rsid w:val="00BC26AC"/>
    <w:rsid w:val="00BC321C"/>
    <w:rsid w:val="00BC4BED"/>
    <w:rsid w:val="00BC6FF6"/>
    <w:rsid w:val="00BC7C0F"/>
    <w:rsid w:val="00BD03D1"/>
    <w:rsid w:val="00BD0659"/>
    <w:rsid w:val="00BD2C0A"/>
    <w:rsid w:val="00BD4F3C"/>
    <w:rsid w:val="00BD5A1A"/>
    <w:rsid w:val="00BD6608"/>
    <w:rsid w:val="00BD6D35"/>
    <w:rsid w:val="00BE0256"/>
    <w:rsid w:val="00BE55B6"/>
    <w:rsid w:val="00BE5BA9"/>
    <w:rsid w:val="00BF1510"/>
    <w:rsid w:val="00BF24EA"/>
    <w:rsid w:val="00BF3BDF"/>
    <w:rsid w:val="00BF53D7"/>
    <w:rsid w:val="00C022E0"/>
    <w:rsid w:val="00C037D7"/>
    <w:rsid w:val="00C06367"/>
    <w:rsid w:val="00C0727F"/>
    <w:rsid w:val="00C11438"/>
    <w:rsid w:val="00C11F8D"/>
    <w:rsid w:val="00C145B3"/>
    <w:rsid w:val="00C1543B"/>
    <w:rsid w:val="00C16B05"/>
    <w:rsid w:val="00C17B16"/>
    <w:rsid w:val="00C17F58"/>
    <w:rsid w:val="00C2003F"/>
    <w:rsid w:val="00C231BC"/>
    <w:rsid w:val="00C24105"/>
    <w:rsid w:val="00C24280"/>
    <w:rsid w:val="00C25BB5"/>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3836"/>
    <w:rsid w:val="00C65263"/>
    <w:rsid w:val="00C65DE1"/>
    <w:rsid w:val="00C66179"/>
    <w:rsid w:val="00C71917"/>
    <w:rsid w:val="00C73544"/>
    <w:rsid w:val="00C74BED"/>
    <w:rsid w:val="00C771EC"/>
    <w:rsid w:val="00C80C6B"/>
    <w:rsid w:val="00C80F39"/>
    <w:rsid w:val="00C8223C"/>
    <w:rsid w:val="00C83AE4"/>
    <w:rsid w:val="00C84525"/>
    <w:rsid w:val="00C84921"/>
    <w:rsid w:val="00C87C1C"/>
    <w:rsid w:val="00C906FA"/>
    <w:rsid w:val="00C91E70"/>
    <w:rsid w:val="00C9409F"/>
    <w:rsid w:val="00C95373"/>
    <w:rsid w:val="00C969D6"/>
    <w:rsid w:val="00CA302C"/>
    <w:rsid w:val="00CA4EE5"/>
    <w:rsid w:val="00CA54AE"/>
    <w:rsid w:val="00CA5D55"/>
    <w:rsid w:val="00CA6346"/>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F00F1"/>
    <w:rsid w:val="00CF037C"/>
    <w:rsid w:val="00CF0603"/>
    <w:rsid w:val="00CF1657"/>
    <w:rsid w:val="00CF1AB4"/>
    <w:rsid w:val="00CF2371"/>
    <w:rsid w:val="00CF276E"/>
    <w:rsid w:val="00CF3C77"/>
    <w:rsid w:val="00CF536E"/>
    <w:rsid w:val="00D01090"/>
    <w:rsid w:val="00D01591"/>
    <w:rsid w:val="00D01903"/>
    <w:rsid w:val="00D0223E"/>
    <w:rsid w:val="00D02646"/>
    <w:rsid w:val="00D04A2D"/>
    <w:rsid w:val="00D07112"/>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62EA5"/>
    <w:rsid w:val="00D70BDA"/>
    <w:rsid w:val="00D73883"/>
    <w:rsid w:val="00D76C52"/>
    <w:rsid w:val="00D822B2"/>
    <w:rsid w:val="00D91CB2"/>
    <w:rsid w:val="00D92D62"/>
    <w:rsid w:val="00D94AE8"/>
    <w:rsid w:val="00DA079D"/>
    <w:rsid w:val="00DA0900"/>
    <w:rsid w:val="00DA500D"/>
    <w:rsid w:val="00DB545D"/>
    <w:rsid w:val="00DC029B"/>
    <w:rsid w:val="00DC1516"/>
    <w:rsid w:val="00DC3B2E"/>
    <w:rsid w:val="00DC4FCF"/>
    <w:rsid w:val="00DC71B4"/>
    <w:rsid w:val="00DD18E9"/>
    <w:rsid w:val="00DD64E9"/>
    <w:rsid w:val="00DD6965"/>
    <w:rsid w:val="00DD6C03"/>
    <w:rsid w:val="00DD6DD3"/>
    <w:rsid w:val="00DD7223"/>
    <w:rsid w:val="00DD7DC5"/>
    <w:rsid w:val="00DE06BA"/>
    <w:rsid w:val="00DE2C99"/>
    <w:rsid w:val="00DE2CA9"/>
    <w:rsid w:val="00DE3D5A"/>
    <w:rsid w:val="00DF258B"/>
    <w:rsid w:val="00DF2E8C"/>
    <w:rsid w:val="00DF4118"/>
    <w:rsid w:val="00DF69E2"/>
    <w:rsid w:val="00E0004F"/>
    <w:rsid w:val="00E01E18"/>
    <w:rsid w:val="00E05BC3"/>
    <w:rsid w:val="00E10840"/>
    <w:rsid w:val="00E11A77"/>
    <w:rsid w:val="00E1645F"/>
    <w:rsid w:val="00E27BCF"/>
    <w:rsid w:val="00E3381D"/>
    <w:rsid w:val="00E33E21"/>
    <w:rsid w:val="00E347A0"/>
    <w:rsid w:val="00E35063"/>
    <w:rsid w:val="00E41440"/>
    <w:rsid w:val="00E5137A"/>
    <w:rsid w:val="00E5429C"/>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5B32"/>
    <w:rsid w:val="00E97429"/>
    <w:rsid w:val="00E974BC"/>
    <w:rsid w:val="00EA08FC"/>
    <w:rsid w:val="00EA3E60"/>
    <w:rsid w:val="00EA41DD"/>
    <w:rsid w:val="00EA53BC"/>
    <w:rsid w:val="00EA5CF6"/>
    <w:rsid w:val="00EA6CE3"/>
    <w:rsid w:val="00EB06AB"/>
    <w:rsid w:val="00EB133C"/>
    <w:rsid w:val="00EB4225"/>
    <w:rsid w:val="00EB53A5"/>
    <w:rsid w:val="00EB62E7"/>
    <w:rsid w:val="00EB772E"/>
    <w:rsid w:val="00EB79AD"/>
    <w:rsid w:val="00EC0479"/>
    <w:rsid w:val="00EC07EB"/>
    <w:rsid w:val="00EC36F8"/>
    <w:rsid w:val="00EC4D32"/>
    <w:rsid w:val="00EC6E52"/>
    <w:rsid w:val="00ED1D33"/>
    <w:rsid w:val="00ED212E"/>
    <w:rsid w:val="00ED4D30"/>
    <w:rsid w:val="00ED7F59"/>
    <w:rsid w:val="00EE0536"/>
    <w:rsid w:val="00EF0128"/>
    <w:rsid w:val="00EF33F5"/>
    <w:rsid w:val="00EF3F23"/>
    <w:rsid w:val="00EF58F9"/>
    <w:rsid w:val="00EF6022"/>
    <w:rsid w:val="00EF648D"/>
    <w:rsid w:val="00F008EE"/>
    <w:rsid w:val="00F027F8"/>
    <w:rsid w:val="00F04F74"/>
    <w:rsid w:val="00F058B7"/>
    <w:rsid w:val="00F065A8"/>
    <w:rsid w:val="00F075CF"/>
    <w:rsid w:val="00F07733"/>
    <w:rsid w:val="00F11B13"/>
    <w:rsid w:val="00F13C99"/>
    <w:rsid w:val="00F20A98"/>
    <w:rsid w:val="00F22834"/>
    <w:rsid w:val="00F235E3"/>
    <w:rsid w:val="00F23725"/>
    <w:rsid w:val="00F23859"/>
    <w:rsid w:val="00F24358"/>
    <w:rsid w:val="00F247EA"/>
    <w:rsid w:val="00F30EFF"/>
    <w:rsid w:val="00F3273C"/>
    <w:rsid w:val="00F32996"/>
    <w:rsid w:val="00F333A5"/>
    <w:rsid w:val="00F356E8"/>
    <w:rsid w:val="00F364EE"/>
    <w:rsid w:val="00F37259"/>
    <w:rsid w:val="00F376F2"/>
    <w:rsid w:val="00F37D9C"/>
    <w:rsid w:val="00F413E3"/>
    <w:rsid w:val="00F41734"/>
    <w:rsid w:val="00F440C4"/>
    <w:rsid w:val="00F4437C"/>
    <w:rsid w:val="00F5323E"/>
    <w:rsid w:val="00F538AA"/>
    <w:rsid w:val="00F56BAE"/>
    <w:rsid w:val="00F56FAC"/>
    <w:rsid w:val="00F570A5"/>
    <w:rsid w:val="00F57F86"/>
    <w:rsid w:val="00F6190B"/>
    <w:rsid w:val="00F66683"/>
    <w:rsid w:val="00F7257A"/>
    <w:rsid w:val="00F73387"/>
    <w:rsid w:val="00F81235"/>
    <w:rsid w:val="00F831AD"/>
    <w:rsid w:val="00F83948"/>
    <w:rsid w:val="00F84C1C"/>
    <w:rsid w:val="00F86A56"/>
    <w:rsid w:val="00F86B8D"/>
    <w:rsid w:val="00F87571"/>
    <w:rsid w:val="00F926B7"/>
    <w:rsid w:val="00F93910"/>
    <w:rsid w:val="00F94AF7"/>
    <w:rsid w:val="00F95111"/>
    <w:rsid w:val="00F95C09"/>
    <w:rsid w:val="00F966F3"/>
    <w:rsid w:val="00FA2576"/>
    <w:rsid w:val="00FA4490"/>
    <w:rsid w:val="00FA5D12"/>
    <w:rsid w:val="00FA7599"/>
    <w:rsid w:val="00FB0A76"/>
    <w:rsid w:val="00FB4BC6"/>
    <w:rsid w:val="00FB610B"/>
    <w:rsid w:val="00FB7861"/>
    <w:rsid w:val="00FB7BA5"/>
    <w:rsid w:val="00FC31C7"/>
    <w:rsid w:val="00FC32FF"/>
    <w:rsid w:val="00FC33F7"/>
    <w:rsid w:val="00FC4028"/>
    <w:rsid w:val="00FC4643"/>
    <w:rsid w:val="00FC46FE"/>
    <w:rsid w:val="00FC74BC"/>
    <w:rsid w:val="00FC77A7"/>
    <w:rsid w:val="00FD1D0E"/>
    <w:rsid w:val="00FD212F"/>
    <w:rsid w:val="00FD323A"/>
    <w:rsid w:val="00FD4667"/>
    <w:rsid w:val="00FE0D30"/>
    <w:rsid w:val="00FE1549"/>
    <w:rsid w:val="00FE30B8"/>
    <w:rsid w:val="00FE3689"/>
    <w:rsid w:val="00FE3C3A"/>
    <w:rsid w:val="00FE606F"/>
    <w:rsid w:val="00FF0402"/>
    <w:rsid w:val="00FF05AB"/>
    <w:rsid w:val="00FF4796"/>
    <w:rsid w:val="00FF50BD"/>
    <w:rsid w:val="00FF70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 w:type="table" w:styleId="Tabellenraster">
    <w:name w:val="Table Grid"/>
    <w:basedOn w:val="NormaleTabelle"/>
    <w:rsid w:val="0033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975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3476-D00D-46B4-AF3F-5230B4D5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8972</Characters>
  <Application>Microsoft Office Word</Application>
  <DocSecurity>2</DocSecurity>
  <Lines>74</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10217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2022-11-07T10:37:00Z</dcterms:created>
  <dcterms:modified xsi:type="dcterms:W3CDTF">2022-11-15T13:46:00Z</dcterms:modified>
</cp:coreProperties>
</file>