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9B" w:rsidRPr="006B2E3A" w:rsidRDefault="0021479B" w:rsidP="0021479B">
      <w:pPr>
        <w:tabs>
          <w:tab w:val="left" w:pos="9072"/>
        </w:tabs>
        <w:spacing w:line="300" w:lineRule="exact"/>
        <w:ind w:right="283"/>
        <w:jc w:val="both"/>
        <w:rPr>
          <w:rFonts w:ascii="CorpoS" w:hAnsi="CorpoS"/>
          <w:b/>
          <w:sz w:val="22"/>
          <w:szCs w:val="22"/>
          <w:lang w:val="de-DE"/>
        </w:rPr>
      </w:pPr>
      <w:r w:rsidRPr="006B2E3A">
        <w:rPr>
          <w:rFonts w:ascii="CorpoS" w:hAnsi="CorpoS"/>
          <w:b/>
          <w:sz w:val="22"/>
          <w:szCs w:val="22"/>
          <w:lang w:val="de-DE"/>
        </w:rPr>
        <w:t xml:space="preserve">MTU </w:t>
      </w:r>
      <w:r w:rsidR="00402DA5" w:rsidRPr="006B2E3A">
        <w:rPr>
          <w:rFonts w:ascii="CorpoS" w:hAnsi="CorpoS"/>
          <w:b/>
          <w:sz w:val="22"/>
          <w:szCs w:val="22"/>
          <w:lang w:val="de-DE"/>
        </w:rPr>
        <w:t>Aero Engines</w:t>
      </w:r>
      <w:r w:rsidR="002B0BAB" w:rsidRPr="006B2E3A">
        <w:rPr>
          <w:rFonts w:ascii="CorpoS" w:hAnsi="CorpoS"/>
          <w:b/>
          <w:sz w:val="22"/>
          <w:szCs w:val="22"/>
          <w:lang w:val="de-DE"/>
        </w:rPr>
        <w:t xml:space="preserve"> </w:t>
      </w:r>
      <w:r w:rsidR="00112BEC" w:rsidRPr="006B2E3A">
        <w:rPr>
          <w:rFonts w:ascii="CorpoS" w:hAnsi="CorpoS"/>
          <w:b/>
          <w:sz w:val="22"/>
          <w:szCs w:val="22"/>
          <w:lang w:val="de-DE"/>
        </w:rPr>
        <w:t xml:space="preserve">AG </w:t>
      </w:r>
      <w:r w:rsidR="006B2E3A" w:rsidRPr="006B2E3A">
        <w:rPr>
          <w:rFonts w:ascii="CorpoS" w:hAnsi="CorpoS"/>
          <w:b/>
          <w:sz w:val="22"/>
          <w:szCs w:val="22"/>
          <w:lang w:val="de-DE"/>
        </w:rPr>
        <w:t>bestätigt zum Halbjahr die Prognose</w:t>
      </w:r>
    </w:p>
    <w:p w:rsidR="00D32F7E" w:rsidRPr="006B2E3A" w:rsidRDefault="00143AB1" w:rsidP="00907781">
      <w:pPr>
        <w:numPr>
          <w:ilvl w:val="0"/>
          <w:numId w:val="6"/>
        </w:numPr>
        <w:tabs>
          <w:tab w:val="left" w:pos="9072"/>
        </w:tabs>
        <w:spacing w:line="300" w:lineRule="exact"/>
        <w:ind w:right="141"/>
        <w:jc w:val="both"/>
        <w:rPr>
          <w:rFonts w:ascii="CorpoS" w:hAnsi="CorpoS"/>
          <w:b/>
          <w:sz w:val="22"/>
          <w:szCs w:val="22"/>
          <w:lang w:val="de-DE"/>
        </w:rPr>
      </w:pPr>
      <w:r w:rsidRPr="006B2E3A">
        <w:rPr>
          <w:rFonts w:ascii="CorpoS" w:hAnsi="CorpoS"/>
          <w:b/>
          <w:sz w:val="22"/>
          <w:szCs w:val="22"/>
          <w:lang w:val="de-DE"/>
        </w:rPr>
        <w:t>Umsatzplus von 2</w:t>
      </w:r>
      <w:r w:rsidR="00B311F9">
        <w:rPr>
          <w:rFonts w:ascii="CorpoS" w:hAnsi="CorpoS"/>
          <w:b/>
          <w:sz w:val="22"/>
          <w:szCs w:val="22"/>
          <w:lang w:val="de-DE"/>
        </w:rPr>
        <w:t>5</w:t>
      </w:r>
      <w:r w:rsidRPr="006B2E3A">
        <w:rPr>
          <w:rFonts w:ascii="CorpoS" w:hAnsi="CorpoS"/>
          <w:b/>
          <w:sz w:val="22"/>
          <w:szCs w:val="22"/>
          <w:lang w:val="de-DE"/>
        </w:rPr>
        <w:t xml:space="preserve"> %</w:t>
      </w:r>
      <w:r w:rsidR="005D667A">
        <w:rPr>
          <w:rFonts w:ascii="CorpoS" w:hAnsi="CorpoS"/>
          <w:b/>
          <w:sz w:val="22"/>
          <w:szCs w:val="22"/>
          <w:lang w:val="de-DE"/>
        </w:rPr>
        <w:t xml:space="preserve"> auf 3,1 Mrd. €</w:t>
      </w:r>
    </w:p>
    <w:p w:rsidR="0021479B" w:rsidRPr="006B2E3A" w:rsidRDefault="005D667A" w:rsidP="005D667A">
      <w:pPr>
        <w:numPr>
          <w:ilvl w:val="0"/>
          <w:numId w:val="6"/>
        </w:numPr>
        <w:tabs>
          <w:tab w:val="left" w:pos="9072"/>
        </w:tabs>
        <w:spacing w:line="300" w:lineRule="exact"/>
        <w:ind w:right="-1"/>
        <w:jc w:val="both"/>
        <w:rPr>
          <w:rFonts w:ascii="CorpoS" w:hAnsi="CorpoS"/>
          <w:b/>
          <w:sz w:val="22"/>
          <w:szCs w:val="22"/>
          <w:lang w:val="de-DE"/>
        </w:rPr>
      </w:pPr>
      <w:r>
        <w:rPr>
          <w:rFonts w:ascii="CorpoS" w:hAnsi="CorpoS"/>
          <w:b/>
          <w:sz w:val="22"/>
          <w:szCs w:val="22"/>
          <w:lang w:val="de-DE"/>
        </w:rPr>
        <w:t>Bereinigtes EBIT</w:t>
      </w:r>
      <w:r w:rsidR="00143AB1" w:rsidRPr="006B2E3A">
        <w:rPr>
          <w:rFonts w:ascii="CorpoS" w:hAnsi="CorpoS"/>
          <w:b/>
          <w:sz w:val="22"/>
          <w:szCs w:val="22"/>
          <w:lang w:val="de-DE"/>
        </w:rPr>
        <w:t xml:space="preserve"> </w:t>
      </w:r>
      <w:r>
        <w:rPr>
          <w:rFonts w:ascii="CorpoS" w:hAnsi="CorpoS"/>
          <w:b/>
          <w:sz w:val="22"/>
          <w:szCs w:val="22"/>
          <w:lang w:val="de-DE"/>
        </w:rPr>
        <w:t>steigt</w:t>
      </w:r>
      <w:r w:rsidR="006B2E3A" w:rsidRPr="006B2E3A">
        <w:rPr>
          <w:rFonts w:ascii="CorpoS" w:hAnsi="CorpoS"/>
          <w:b/>
          <w:sz w:val="22"/>
          <w:szCs w:val="22"/>
          <w:lang w:val="de-DE"/>
        </w:rPr>
        <w:t xml:space="preserve"> um 4</w:t>
      </w:r>
      <w:r w:rsidR="00B311F9">
        <w:rPr>
          <w:rFonts w:ascii="CorpoS" w:hAnsi="CorpoS"/>
          <w:b/>
          <w:sz w:val="22"/>
          <w:szCs w:val="22"/>
          <w:lang w:val="de-DE"/>
        </w:rPr>
        <w:t>0</w:t>
      </w:r>
      <w:r w:rsidR="006B2E3A" w:rsidRPr="006B2E3A">
        <w:rPr>
          <w:rFonts w:ascii="CorpoS" w:hAnsi="CorpoS"/>
          <w:b/>
          <w:sz w:val="22"/>
          <w:szCs w:val="22"/>
          <w:lang w:val="de-DE"/>
        </w:rPr>
        <w:t xml:space="preserve"> % </w:t>
      </w:r>
      <w:r>
        <w:rPr>
          <w:rFonts w:ascii="CorpoS" w:hAnsi="CorpoS"/>
          <w:b/>
          <w:sz w:val="22"/>
          <w:szCs w:val="22"/>
          <w:lang w:val="de-DE"/>
        </w:rPr>
        <w:t>auf 4</w:t>
      </w:r>
      <w:r w:rsidR="00B311F9">
        <w:rPr>
          <w:rFonts w:ascii="CorpoS" w:hAnsi="CorpoS"/>
          <w:b/>
          <w:sz w:val="22"/>
          <w:szCs w:val="22"/>
          <w:lang w:val="de-DE"/>
        </w:rPr>
        <w:t>05</w:t>
      </w:r>
      <w:r>
        <w:rPr>
          <w:rFonts w:ascii="CorpoS" w:hAnsi="CorpoS"/>
          <w:b/>
          <w:sz w:val="22"/>
          <w:szCs w:val="22"/>
          <w:lang w:val="de-DE"/>
        </w:rPr>
        <w:t xml:space="preserve"> Mio. €</w:t>
      </w:r>
      <w:r w:rsidR="006B2E3A" w:rsidRPr="006B2E3A">
        <w:rPr>
          <w:rFonts w:ascii="CorpoS" w:hAnsi="CorpoS"/>
          <w:b/>
          <w:sz w:val="22"/>
          <w:szCs w:val="22"/>
          <w:lang w:val="de-DE"/>
        </w:rPr>
        <w:t>,</w:t>
      </w:r>
      <w:r w:rsidR="00143AB1" w:rsidRPr="006B2E3A">
        <w:rPr>
          <w:rFonts w:ascii="CorpoS" w:hAnsi="CorpoS"/>
          <w:b/>
          <w:sz w:val="22"/>
          <w:szCs w:val="22"/>
          <w:lang w:val="de-DE"/>
        </w:rPr>
        <w:t xml:space="preserve"> Gewinn nach Steuern um </w:t>
      </w:r>
      <w:r w:rsidR="00B311F9">
        <w:rPr>
          <w:rFonts w:ascii="CorpoS" w:hAnsi="CorpoS"/>
          <w:b/>
          <w:sz w:val="22"/>
          <w:szCs w:val="22"/>
          <w:lang w:val="de-DE"/>
        </w:rPr>
        <w:t>45</w:t>
      </w:r>
      <w:r w:rsidR="00143AB1" w:rsidRPr="006B2E3A">
        <w:rPr>
          <w:rFonts w:ascii="CorpoS" w:hAnsi="CorpoS"/>
          <w:b/>
          <w:sz w:val="22"/>
          <w:szCs w:val="22"/>
          <w:lang w:val="de-DE"/>
        </w:rPr>
        <w:t xml:space="preserve"> %</w:t>
      </w:r>
      <w:r>
        <w:rPr>
          <w:rFonts w:ascii="CorpoS" w:hAnsi="CorpoS"/>
          <w:b/>
          <w:sz w:val="22"/>
          <w:szCs w:val="22"/>
          <w:lang w:val="de-DE"/>
        </w:rPr>
        <w:t xml:space="preserve"> auf 3</w:t>
      </w:r>
      <w:r w:rsidR="00B311F9">
        <w:rPr>
          <w:rFonts w:ascii="CorpoS" w:hAnsi="CorpoS"/>
          <w:b/>
          <w:sz w:val="22"/>
          <w:szCs w:val="22"/>
          <w:lang w:val="de-DE"/>
        </w:rPr>
        <w:t>00</w:t>
      </w:r>
      <w:r>
        <w:rPr>
          <w:rFonts w:ascii="CorpoS" w:hAnsi="CorpoS"/>
          <w:b/>
          <w:sz w:val="22"/>
          <w:szCs w:val="22"/>
          <w:lang w:val="de-DE"/>
        </w:rPr>
        <w:t xml:space="preserve"> Mio. €</w:t>
      </w:r>
    </w:p>
    <w:p w:rsidR="0021479B" w:rsidRPr="006B2E3A" w:rsidRDefault="0021479B" w:rsidP="0021479B">
      <w:pPr>
        <w:tabs>
          <w:tab w:val="left" w:pos="9072"/>
        </w:tabs>
        <w:spacing w:line="300" w:lineRule="exact"/>
        <w:ind w:right="283"/>
        <w:jc w:val="both"/>
        <w:rPr>
          <w:rFonts w:ascii="CorpoS" w:hAnsi="CorpoS"/>
          <w:b/>
          <w:sz w:val="22"/>
          <w:szCs w:val="22"/>
          <w:lang w:val="de-DE"/>
        </w:rPr>
      </w:pPr>
    </w:p>
    <w:p w:rsidR="0035180B" w:rsidRPr="00345A99" w:rsidRDefault="0021479B" w:rsidP="00577858">
      <w:pPr>
        <w:tabs>
          <w:tab w:val="left" w:pos="7655"/>
          <w:tab w:val="left" w:pos="9072"/>
        </w:tabs>
        <w:spacing w:line="300" w:lineRule="exact"/>
        <w:ind w:right="284"/>
        <w:jc w:val="both"/>
        <w:rPr>
          <w:rFonts w:ascii="CorpoS" w:hAnsi="CorpoS"/>
          <w:sz w:val="22"/>
          <w:szCs w:val="22"/>
          <w:lang w:val="de-DE"/>
        </w:rPr>
      </w:pPr>
      <w:r w:rsidRPr="00345A99">
        <w:rPr>
          <w:rFonts w:ascii="CorpoS" w:hAnsi="CorpoS"/>
          <w:sz w:val="22"/>
          <w:szCs w:val="22"/>
          <w:lang w:val="de-DE"/>
        </w:rPr>
        <w:t xml:space="preserve">München, </w:t>
      </w:r>
      <w:r w:rsidR="00F31A55" w:rsidRPr="00345A99">
        <w:rPr>
          <w:rFonts w:ascii="CorpoS" w:hAnsi="CorpoS"/>
          <w:sz w:val="22"/>
          <w:szCs w:val="22"/>
          <w:lang w:val="de-DE"/>
        </w:rPr>
        <w:t>26</w:t>
      </w:r>
      <w:r w:rsidR="0083006E" w:rsidRPr="00345A99">
        <w:rPr>
          <w:rFonts w:ascii="CorpoS" w:hAnsi="CorpoS"/>
          <w:sz w:val="22"/>
          <w:szCs w:val="22"/>
          <w:lang w:val="de-DE"/>
        </w:rPr>
        <w:t>. Juli 202</w:t>
      </w:r>
      <w:r w:rsidR="00F31A55" w:rsidRPr="00345A99">
        <w:rPr>
          <w:rFonts w:ascii="CorpoS" w:hAnsi="CorpoS"/>
          <w:sz w:val="22"/>
          <w:szCs w:val="22"/>
          <w:lang w:val="de-DE"/>
        </w:rPr>
        <w:t>3</w:t>
      </w:r>
      <w:r w:rsidRPr="00345A99">
        <w:rPr>
          <w:rFonts w:ascii="CorpoS" w:hAnsi="CorpoS"/>
          <w:sz w:val="22"/>
          <w:szCs w:val="22"/>
          <w:lang w:val="de-DE"/>
        </w:rPr>
        <w:t xml:space="preserve"> – </w:t>
      </w:r>
      <w:r w:rsidR="008D378F" w:rsidRPr="00345A99">
        <w:rPr>
          <w:rFonts w:ascii="CorpoS" w:hAnsi="CorpoS"/>
          <w:sz w:val="22"/>
          <w:szCs w:val="22"/>
          <w:lang w:val="de-DE"/>
        </w:rPr>
        <w:t xml:space="preserve">Die MTU </w:t>
      </w:r>
      <w:r w:rsidR="008B7D57" w:rsidRPr="00345A99">
        <w:rPr>
          <w:rFonts w:ascii="CorpoS" w:hAnsi="CorpoS"/>
          <w:sz w:val="22"/>
          <w:szCs w:val="22"/>
          <w:lang w:val="de-DE"/>
        </w:rPr>
        <w:t xml:space="preserve">Aero Engines AG </w:t>
      </w:r>
      <w:r w:rsidR="008D378F" w:rsidRPr="00345A99">
        <w:rPr>
          <w:rFonts w:ascii="CorpoS" w:hAnsi="CorpoS"/>
          <w:sz w:val="22"/>
          <w:szCs w:val="22"/>
          <w:lang w:val="de-DE"/>
        </w:rPr>
        <w:t>hat im ersten Halbjahr 202</w:t>
      </w:r>
      <w:r w:rsidR="00F31A55" w:rsidRPr="00345A99">
        <w:rPr>
          <w:rFonts w:ascii="CorpoS" w:hAnsi="CorpoS"/>
          <w:sz w:val="22"/>
          <w:szCs w:val="22"/>
          <w:lang w:val="de-DE"/>
        </w:rPr>
        <w:t xml:space="preserve">3 einen Umsatz in Höhe von 3,1 Mrd. € erwirtschaftet (1-6/2022: </w:t>
      </w:r>
      <w:r w:rsidR="006122D9" w:rsidRPr="00345A99">
        <w:rPr>
          <w:rFonts w:ascii="CorpoS" w:hAnsi="CorpoS"/>
          <w:sz w:val="22"/>
          <w:szCs w:val="22"/>
          <w:lang w:val="de-DE"/>
        </w:rPr>
        <w:t>2,</w:t>
      </w:r>
      <w:r w:rsidR="00C60E50">
        <w:rPr>
          <w:rFonts w:ascii="CorpoS" w:hAnsi="CorpoS"/>
          <w:sz w:val="22"/>
          <w:szCs w:val="22"/>
          <w:lang w:val="de-DE"/>
        </w:rPr>
        <w:t>5</w:t>
      </w:r>
      <w:r w:rsidR="006122D9" w:rsidRPr="00345A99">
        <w:rPr>
          <w:rFonts w:ascii="CorpoS" w:hAnsi="CorpoS"/>
          <w:sz w:val="22"/>
          <w:szCs w:val="22"/>
          <w:lang w:val="de-DE"/>
        </w:rPr>
        <w:t xml:space="preserve"> Mrd. €</w:t>
      </w:r>
      <w:r w:rsidR="00F31A55" w:rsidRPr="00345A99">
        <w:rPr>
          <w:rFonts w:ascii="CorpoS" w:hAnsi="CorpoS"/>
          <w:sz w:val="22"/>
          <w:szCs w:val="22"/>
          <w:lang w:val="de-DE"/>
        </w:rPr>
        <w:t>). Das entspricht einem Umsatzplus von 2</w:t>
      </w:r>
      <w:r w:rsidR="00B311F9">
        <w:rPr>
          <w:rFonts w:ascii="CorpoS" w:hAnsi="CorpoS"/>
          <w:sz w:val="22"/>
          <w:szCs w:val="22"/>
          <w:lang w:val="de-DE"/>
        </w:rPr>
        <w:t>5</w:t>
      </w:r>
      <w:r w:rsidR="00F31A55" w:rsidRPr="00345A99">
        <w:rPr>
          <w:rFonts w:ascii="CorpoS" w:hAnsi="CorpoS"/>
          <w:sz w:val="22"/>
          <w:szCs w:val="22"/>
          <w:lang w:val="de-DE"/>
        </w:rPr>
        <w:t xml:space="preserve"> %</w:t>
      </w:r>
      <w:r w:rsidR="006122D9" w:rsidRPr="00345A99">
        <w:rPr>
          <w:rFonts w:ascii="CorpoS" w:hAnsi="CorpoS"/>
          <w:sz w:val="22"/>
          <w:szCs w:val="22"/>
          <w:lang w:val="de-DE"/>
        </w:rPr>
        <w:t xml:space="preserve">. </w:t>
      </w:r>
      <w:r w:rsidR="00AB5AF3" w:rsidRPr="00345A99">
        <w:rPr>
          <w:rFonts w:ascii="CorpoS" w:hAnsi="CorpoS"/>
          <w:sz w:val="22"/>
          <w:szCs w:val="22"/>
          <w:lang w:val="de-DE"/>
        </w:rPr>
        <w:t xml:space="preserve">Das </w:t>
      </w:r>
      <w:r w:rsidR="00B74DCA" w:rsidRPr="00345A99">
        <w:rPr>
          <w:rFonts w:ascii="CorpoS" w:hAnsi="CorpoS"/>
          <w:sz w:val="22"/>
          <w:szCs w:val="22"/>
          <w:lang w:val="de-DE"/>
        </w:rPr>
        <w:t>operative Ergebnis</w:t>
      </w:r>
      <w:r w:rsidRPr="00345A99">
        <w:rPr>
          <w:rStyle w:val="Funotenzeichen"/>
          <w:rFonts w:ascii="CorpoS" w:hAnsi="CorpoS"/>
          <w:b/>
          <w:sz w:val="22"/>
          <w:szCs w:val="22"/>
        </w:rPr>
        <w:footnoteReference w:id="1"/>
      </w:r>
      <w:r w:rsidRPr="00345A99">
        <w:rPr>
          <w:rFonts w:ascii="CorpoS" w:hAnsi="CorpoS"/>
          <w:sz w:val="22"/>
          <w:szCs w:val="22"/>
          <w:lang w:val="de-DE"/>
        </w:rPr>
        <w:t xml:space="preserve"> </w:t>
      </w:r>
      <w:r w:rsidR="00345A99" w:rsidRPr="00345A99">
        <w:rPr>
          <w:rFonts w:ascii="CorpoS" w:hAnsi="CorpoS"/>
          <w:sz w:val="22"/>
          <w:szCs w:val="22"/>
          <w:lang w:val="de-DE"/>
        </w:rPr>
        <w:t>nahm</w:t>
      </w:r>
      <w:r w:rsidR="006551CD" w:rsidRPr="00345A99">
        <w:rPr>
          <w:rFonts w:ascii="CorpoS" w:hAnsi="CorpoS"/>
          <w:sz w:val="22"/>
          <w:szCs w:val="22"/>
          <w:lang w:val="de-DE"/>
        </w:rPr>
        <w:t xml:space="preserve"> </w:t>
      </w:r>
      <w:r w:rsidR="006122D9" w:rsidRPr="00345A99">
        <w:rPr>
          <w:rFonts w:ascii="CorpoS" w:hAnsi="CorpoS"/>
          <w:sz w:val="22"/>
          <w:szCs w:val="22"/>
          <w:lang w:val="de-DE"/>
        </w:rPr>
        <w:t xml:space="preserve">um </w:t>
      </w:r>
      <w:r w:rsidR="00F31A55" w:rsidRPr="00345A99">
        <w:rPr>
          <w:rFonts w:ascii="CorpoS" w:hAnsi="CorpoS"/>
          <w:sz w:val="22"/>
          <w:szCs w:val="22"/>
          <w:lang w:val="de-DE"/>
        </w:rPr>
        <w:t>4</w:t>
      </w:r>
      <w:r w:rsidR="00B311F9">
        <w:rPr>
          <w:rFonts w:ascii="CorpoS" w:hAnsi="CorpoS"/>
          <w:sz w:val="22"/>
          <w:szCs w:val="22"/>
          <w:lang w:val="de-DE"/>
        </w:rPr>
        <w:t>0</w:t>
      </w:r>
      <w:r w:rsidR="00F31A55" w:rsidRPr="00345A99">
        <w:rPr>
          <w:rFonts w:ascii="CorpoS" w:hAnsi="CorpoS"/>
          <w:sz w:val="22"/>
          <w:szCs w:val="22"/>
          <w:lang w:val="de-DE"/>
        </w:rPr>
        <w:t xml:space="preserve"> </w:t>
      </w:r>
      <w:r w:rsidR="006122D9" w:rsidRPr="00345A99">
        <w:rPr>
          <w:rFonts w:ascii="CorpoS" w:hAnsi="CorpoS"/>
          <w:sz w:val="22"/>
          <w:szCs w:val="22"/>
          <w:lang w:val="de-DE"/>
        </w:rPr>
        <w:t xml:space="preserve">% von </w:t>
      </w:r>
      <w:r w:rsidR="00F31A55" w:rsidRPr="00345A99">
        <w:rPr>
          <w:rFonts w:ascii="CorpoS" w:hAnsi="CorpoS"/>
          <w:sz w:val="22"/>
          <w:szCs w:val="22"/>
          <w:lang w:val="de-DE"/>
        </w:rPr>
        <w:t>290</w:t>
      </w:r>
      <w:r w:rsidR="006122D9" w:rsidRPr="00345A99">
        <w:rPr>
          <w:rFonts w:ascii="CorpoS" w:hAnsi="CorpoS"/>
          <w:sz w:val="22"/>
          <w:szCs w:val="22"/>
          <w:lang w:val="de-DE"/>
        </w:rPr>
        <w:t xml:space="preserve"> Mio. € auf </w:t>
      </w:r>
      <w:r w:rsidR="00F31A55" w:rsidRPr="00345A99">
        <w:rPr>
          <w:rFonts w:ascii="CorpoS" w:hAnsi="CorpoS"/>
          <w:sz w:val="22"/>
          <w:szCs w:val="22"/>
          <w:lang w:val="de-DE"/>
        </w:rPr>
        <w:t>4</w:t>
      </w:r>
      <w:r w:rsidR="00B311F9">
        <w:rPr>
          <w:rFonts w:ascii="CorpoS" w:hAnsi="CorpoS"/>
          <w:sz w:val="22"/>
          <w:szCs w:val="22"/>
          <w:lang w:val="de-DE"/>
        </w:rPr>
        <w:t>05</w:t>
      </w:r>
      <w:r w:rsidR="006122D9" w:rsidRPr="00345A99">
        <w:rPr>
          <w:rFonts w:ascii="CorpoS" w:hAnsi="CorpoS"/>
          <w:sz w:val="22"/>
          <w:szCs w:val="22"/>
          <w:lang w:val="de-DE"/>
        </w:rPr>
        <w:t xml:space="preserve"> Mio. €</w:t>
      </w:r>
      <w:r w:rsidR="00345A99" w:rsidRPr="00345A99">
        <w:rPr>
          <w:rFonts w:ascii="CorpoS" w:hAnsi="CorpoS"/>
          <w:sz w:val="22"/>
          <w:szCs w:val="22"/>
          <w:lang w:val="de-DE"/>
        </w:rPr>
        <w:t xml:space="preserve"> zu</w:t>
      </w:r>
      <w:r w:rsidR="006122D9" w:rsidRPr="00345A99">
        <w:rPr>
          <w:rFonts w:ascii="CorpoS" w:hAnsi="CorpoS"/>
          <w:sz w:val="22"/>
          <w:szCs w:val="22"/>
          <w:lang w:val="de-DE"/>
        </w:rPr>
        <w:t xml:space="preserve">. Die bereinigte Ergebnismarge stieg </w:t>
      </w:r>
      <w:r w:rsidR="00F31A55" w:rsidRPr="00345A99">
        <w:rPr>
          <w:rFonts w:ascii="CorpoS" w:hAnsi="CorpoS"/>
          <w:sz w:val="22"/>
          <w:szCs w:val="22"/>
          <w:lang w:val="de-DE"/>
        </w:rPr>
        <w:t>auf 13,</w:t>
      </w:r>
      <w:r w:rsidR="00B311F9">
        <w:rPr>
          <w:rFonts w:ascii="CorpoS" w:hAnsi="CorpoS"/>
          <w:sz w:val="22"/>
          <w:szCs w:val="22"/>
          <w:lang w:val="de-DE"/>
        </w:rPr>
        <w:t>1</w:t>
      </w:r>
      <w:r w:rsidR="00F31A55" w:rsidRPr="00345A99">
        <w:rPr>
          <w:rFonts w:ascii="CorpoS" w:hAnsi="CorpoS"/>
          <w:sz w:val="22"/>
          <w:szCs w:val="22"/>
          <w:lang w:val="de-DE"/>
        </w:rPr>
        <w:t xml:space="preserve"> % (</w:t>
      </w:r>
      <w:r w:rsidR="00345A99" w:rsidRPr="00345A99">
        <w:rPr>
          <w:rFonts w:ascii="CorpoS" w:hAnsi="CorpoS"/>
          <w:sz w:val="22"/>
          <w:szCs w:val="22"/>
          <w:lang w:val="de-DE"/>
        </w:rPr>
        <w:t>1-6/</w:t>
      </w:r>
      <w:r w:rsidR="00F31A55" w:rsidRPr="00345A99">
        <w:rPr>
          <w:rFonts w:ascii="CorpoS" w:hAnsi="CorpoS"/>
          <w:sz w:val="22"/>
          <w:szCs w:val="22"/>
          <w:lang w:val="de-DE"/>
        </w:rPr>
        <w:t xml:space="preserve">2022: </w:t>
      </w:r>
      <w:r w:rsidR="006122D9" w:rsidRPr="00345A99">
        <w:rPr>
          <w:rFonts w:ascii="CorpoS" w:hAnsi="CorpoS"/>
          <w:sz w:val="22"/>
          <w:szCs w:val="22"/>
          <w:lang w:val="de-DE"/>
        </w:rPr>
        <w:t>11,7 %</w:t>
      </w:r>
      <w:r w:rsidR="00F31A55" w:rsidRPr="00345A99">
        <w:rPr>
          <w:rFonts w:ascii="CorpoS" w:hAnsi="CorpoS"/>
          <w:sz w:val="22"/>
          <w:szCs w:val="22"/>
          <w:lang w:val="de-DE"/>
        </w:rPr>
        <w:t>)</w:t>
      </w:r>
      <w:r w:rsidR="006122D9" w:rsidRPr="00345A99">
        <w:rPr>
          <w:rFonts w:ascii="CorpoS" w:hAnsi="CorpoS"/>
          <w:sz w:val="22"/>
          <w:szCs w:val="22"/>
          <w:lang w:val="de-DE"/>
        </w:rPr>
        <w:t xml:space="preserve">. </w:t>
      </w:r>
      <w:r w:rsidR="00E76DBC" w:rsidRPr="00345A99">
        <w:rPr>
          <w:rFonts w:ascii="CorpoS" w:hAnsi="CorpoS"/>
          <w:sz w:val="22"/>
          <w:szCs w:val="22"/>
          <w:lang w:val="de-DE"/>
        </w:rPr>
        <w:t>Der Gewinn nach Steuern</w:t>
      </w:r>
      <w:r w:rsidR="00E76DBC" w:rsidRPr="00345A99">
        <w:rPr>
          <w:rStyle w:val="Funotenzeichen"/>
          <w:rFonts w:ascii="CorpoS" w:hAnsi="CorpoS"/>
          <w:b/>
          <w:sz w:val="22"/>
          <w:szCs w:val="22"/>
        </w:rPr>
        <w:footnoteReference w:id="2"/>
      </w:r>
      <w:r w:rsidR="00E76DBC" w:rsidRPr="00345A99">
        <w:rPr>
          <w:rFonts w:ascii="CorpoS" w:hAnsi="CorpoS"/>
          <w:sz w:val="22"/>
          <w:szCs w:val="22"/>
          <w:lang w:val="de-DE"/>
        </w:rPr>
        <w:t xml:space="preserve"> </w:t>
      </w:r>
      <w:r w:rsidR="00345A99" w:rsidRPr="00345A99">
        <w:rPr>
          <w:rFonts w:ascii="CorpoS" w:hAnsi="CorpoS"/>
          <w:sz w:val="22"/>
          <w:szCs w:val="22"/>
          <w:lang w:val="de-DE"/>
        </w:rPr>
        <w:t xml:space="preserve">legte um </w:t>
      </w:r>
      <w:r w:rsidR="00B311F9">
        <w:rPr>
          <w:rFonts w:ascii="CorpoS" w:hAnsi="CorpoS"/>
          <w:sz w:val="22"/>
          <w:szCs w:val="22"/>
          <w:lang w:val="de-DE"/>
        </w:rPr>
        <w:t>4</w:t>
      </w:r>
      <w:r w:rsidR="00345A99" w:rsidRPr="00345A99">
        <w:rPr>
          <w:rFonts w:ascii="CorpoS" w:hAnsi="CorpoS"/>
          <w:sz w:val="22"/>
          <w:szCs w:val="22"/>
          <w:lang w:val="de-DE"/>
        </w:rPr>
        <w:t>5 % zu</w:t>
      </w:r>
      <w:r w:rsidR="00E76DBC" w:rsidRPr="00345A99">
        <w:rPr>
          <w:rFonts w:ascii="CorpoS" w:hAnsi="CorpoS"/>
          <w:sz w:val="22"/>
          <w:szCs w:val="22"/>
          <w:lang w:val="de-DE"/>
        </w:rPr>
        <w:t xml:space="preserve"> und erreichte </w:t>
      </w:r>
      <w:r w:rsidR="00345A99" w:rsidRPr="00345A99">
        <w:rPr>
          <w:rFonts w:ascii="CorpoS" w:hAnsi="CorpoS"/>
          <w:sz w:val="22"/>
          <w:szCs w:val="22"/>
          <w:lang w:val="de-DE"/>
        </w:rPr>
        <w:t>3</w:t>
      </w:r>
      <w:r w:rsidR="00B311F9">
        <w:rPr>
          <w:rFonts w:ascii="CorpoS" w:hAnsi="CorpoS"/>
          <w:sz w:val="22"/>
          <w:szCs w:val="22"/>
          <w:lang w:val="de-DE"/>
        </w:rPr>
        <w:t>00</w:t>
      </w:r>
      <w:r w:rsidR="006122D9" w:rsidRPr="00345A99">
        <w:rPr>
          <w:rFonts w:ascii="CorpoS" w:hAnsi="CorpoS"/>
          <w:sz w:val="22"/>
          <w:szCs w:val="22"/>
          <w:lang w:val="de-DE"/>
        </w:rPr>
        <w:t xml:space="preserve"> Mio. € nach </w:t>
      </w:r>
      <w:r w:rsidR="00E76DBC" w:rsidRPr="00345A99">
        <w:rPr>
          <w:rFonts w:ascii="CorpoS" w:hAnsi="CorpoS"/>
          <w:sz w:val="22"/>
          <w:szCs w:val="22"/>
          <w:lang w:val="de-DE"/>
        </w:rPr>
        <w:t>207</w:t>
      </w:r>
      <w:r w:rsidR="006122D9" w:rsidRPr="00345A99">
        <w:rPr>
          <w:rFonts w:ascii="CorpoS" w:hAnsi="CorpoS"/>
          <w:sz w:val="22"/>
          <w:szCs w:val="22"/>
          <w:lang w:val="de-DE"/>
        </w:rPr>
        <w:t xml:space="preserve"> Mio. € im Vergleichszeitraum</w:t>
      </w:r>
      <w:r w:rsidR="00CB3673" w:rsidRPr="00345A99">
        <w:rPr>
          <w:rFonts w:ascii="CorpoS" w:hAnsi="CorpoS"/>
          <w:sz w:val="22"/>
          <w:szCs w:val="22"/>
          <w:lang w:val="de-DE"/>
        </w:rPr>
        <w:t>.</w:t>
      </w:r>
    </w:p>
    <w:p w:rsidR="0035180B" w:rsidRPr="00345A99" w:rsidRDefault="0035180B" w:rsidP="00577858">
      <w:pPr>
        <w:tabs>
          <w:tab w:val="left" w:pos="7655"/>
          <w:tab w:val="left" w:pos="9072"/>
        </w:tabs>
        <w:spacing w:line="300" w:lineRule="exact"/>
        <w:ind w:right="284"/>
        <w:jc w:val="both"/>
        <w:rPr>
          <w:rFonts w:ascii="CorpoS" w:hAnsi="CorpoS"/>
          <w:sz w:val="22"/>
          <w:szCs w:val="22"/>
          <w:lang w:val="de-DE"/>
        </w:rPr>
      </w:pPr>
    </w:p>
    <w:p w:rsidR="00915B55" w:rsidRPr="004A6706" w:rsidRDefault="007A6752" w:rsidP="00577858">
      <w:pPr>
        <w:tabs>
          <w:tab w:val="left" w:pos="7655"/>
          <w:tab w:val="left" w:pos="9072"/>
        </w:tabs>
        <w:spacing w:line="300" w:lineRule="exact"/>
        <w:ind w:right="284"/>
        <w:jc w:val="both"/>
        <w:rPr>
          <w:rFonts w:ascii="CorpoS" w:hAnsi="CorpoS"/>
          <w:sz w:val="22"/>
          <w:szCs w:val="22"/>
          <w:lang w:val="de-DE"/>
        </w:rPr>
      </w:pPr>
      <w:r w:rsidRPr="004A6706">
        <w:rPr>
          <w:rFonts w:ascii="CorpoS" w:hAnsi="CorpoS"/>
          <w:sz w:val="22"/>
          <w:szCs w:val="22"/>
          <w:lang w:val="de-DE"/>
        </w:rPr>
        <w:t>„</w:t>
      </w:r>
      <w:r w:rsidR="005277DA">
        <w:rPr>
          <w:rFonts w:ascii="CorpoS" w:hAnsi="CorpoS"/>
          <w:sz w:val="22"/>
          <w:szCs w:val="22"/>
          <w:lang w:val="de-DE"/>
        </w:rPr>
        <w:t>Die Erholung unserer Branche hält im H</w:t>
      </w:r>
      <w:r w:rsidR="006B2E3A" w:rsidRPr="004A6706">
        <w:rPr>
          <w:rFonts w:ascii="CorpoS" w:hAnsi="CorpoS"/>
          <w:sz w:val="22"/>
          <w:szCs w:val="22"/>
          <w:lang w:val="de-DE"/>
        </w:rPr>
        <w:t>inblick auf Flugbewegungen</w:t>
      </w:r>
      <w:r w:rsidR="009806FD" w:rsidRPr="004A6706">
        <w:rPr>
          <w:rFonts w:ascii="CorpoS" w:hAnsi="CorpoS"/>
          <w:sz w:val="22"/>
          <w:szCs w:val="22"/>
          <w:lang w:val="de-DE"/>
        </w:rPr>
        <w:t xml:space="preserve"> und</w:t>
      </w:r>
      <w:r w:rsidR="006B2E3A" w:rsidRPr="004A6706">
        <w:rPr>
          <w:rFonts w:ascii="CorpoS" w:hAnsi="CorpoS"/>
          <w:sz w:val="22"/>
          <w:szCs w:val="22"/>
          <w:lang w:val="de-DE"/>
        </w:rPr>
        <w:t xml:space="preserve"> Auftragslage</w:t>
      </w:r>
      <w:r w:rsidR="005277DA">
        <w:rPr>
          <w:rFonts w:ascii="CorpoS" w:hAnsi="CorpoS"/>
          <w:sz w:val="22"/>
          <w:szCs w:val="22"/>
          <w:lang w:val="de-DE"/>
        </w:rPr>
        <w:t xml:space="preserve"> weiter an. Vor diesem Hintergrund und mit unseren Halbjahresergebnissen </w:t>
      </w:r>
      <w:r w:rsidR="006B2E3A" w:rsidRPr="004A6706">
        <w:rPr>
          <w:rFonts w:ascii="CorpoS" w:hAnsi="CorpoS"/>
          <w:sz w:val="22"/>
          <w:szCs w:val="22"/>
          <w:lang w:val="de-DE"/>
        </w:rPr>
        <w:t>sehen wir uns auf einem guten Weg, die Ziele, die wir uns für 2023 gesteckt haben, zu erreichen</w:t>
      </w:r>
      <w:r w:rsidR="00E37920" w:rsidRPr="004A6706">
        <w:rPr>
          <w:rFonts w:ascii="CorpoS" w:hAnsi="CorpoS"/>
          <w:sz w:val="22"/>
          <w:szCs w:val="22"/>
          <w:lang w:val="de-DE"/>
        </w:rPr>
        <w:t>“</w:t>
      </w:r>
      <w:r w:rsidRPr="004A6706">
        <w:rPr>
          <w:rFonts w:ascii="CorpoS" w:hAnsi="CorpoS"/>
          <w:sz w:val="22"/>
          <w:szCs w:val="22"/>
          <w:lang w:val="de-DE"/>
        </w:rPr>
        <w:t xml:space="preserve">, sagte </w:t>
      </w:r>
      <w:r w:rsidR="00E76DBC" w:rsidRPr="004A6706">
        <w:rPr>
          <w:rFonts w:ascii="CorpoS" w:hAnsi="CorpoS"/>
          <w:sz w:val="22"/>
          <w:szCs w:val="22"/>
          <w:lang w:val="de-DE"/>
        </w:rPr>
        <w:t>Lars Wagner</w:t>
      </w:r>
      <w:r w:rsidRPr="004A6706">
        <w:rPr>
          <w:rFonts w:ascii="CorpoS" w:hAnsi="CorpoS"/>
          <w:sz w:val="22"/>
          <w:szCs w:val="22"/>
          <w:lang w:val="de-DE"/>
        </w:rPr>
        <w:t>, Vorstandsvorsit</w:t>
      </w:r>
      <w:r w:rsidR="009F1D7C" w:rsidRPr="004A6706">
        <w:rPr>
          <w:rFonts w:ascii="CorpoS" w:hAnsi="CorpoS"/>
          <w:sz w:val="22"/>
          <w:szCs w:val="22"/>
          <w:lang w:val="de-DE"/>
        </w:rPr>
        <w:t>zender der MTU Aero Engines AG.</w:t>
      </w:r>
      <w:r w:rsidR="002451B2" w:rsidRPr="004A6706">
        <w:rPr>
          <w:rFonts w:ascii="CorpoS" w:hAnsi="CorpoS"/>
          <w:sz w:val="22"/>
          <w:szCs w:val="22"/>
          <w:lang w:val="de-DE"/>
        </w:rPr>
        <w:t xml:space="preserve"> „</w:t>
      </w:r>
      <w:r w:rsidR="006B2E3A" w:rsidRPr="004A6706">
        <w:rPr>
          <w:rFonts w:ascii="CorpoS" w:hAnsi="CorpoS"/>
          <w:sz w:val="22"/>
          <w:szCs w:val="22"/>
          <w:lang w:val="de-DE"/>
        </w:rPr>
        <w:t>U</w:t>
      </w:r>
      <w:r w:rsidR="00E37920" w:rsidRPr="004A6706">
        <w:rPr>
          <w:rFonts w:ascii="CorpoS" w:hAnsi="CorpoS"/>
          <w:sz w:val="22"/>
          <w:szCs w:val="22"/>
          <w:lang w:val="de-DE"/>
        </w:rPr>
        <w:t>nsere Prognose für das Gesamtjahr bestätigen</w:t>
      </w:r>
      <w:r w:rsidR="006B2E3A" w:rsidRPr="004A6706">
        <w:rPr>
          <w:rFonts w:ascii="CorpoS" w:hAnsi="CorpoS"/>
          <w:sz w:val="22"/>
          <w:szCs w:val="22"/>
          <w:lang w:val="de-DE"/>
        </w:rPr>
        <w:t xml:space="preserve"> wir heute</w:t>
      </w:r>
      <w:r w:rsidR="002451B2" w:rsidRPr="004A6706">
        <w:rPr>
          <w:rFonts w:ascii="CorpoS" w:hAnsi="CorpoS"/>
          <w:sz w:val="22"/>
          <w:szCs w:val="22"/>
          <w:lang w:val="de-DE"/>
        </w:rPr>
        <w:t>.“</w:t>
      </w:r>
      <w:r w:rsidR="00E37920" w:rsidRPr="004A6706">
        <w:rPr>
          <w:rFonts w:ascii="CorpoS" w:hAnsi="CorpoS"/>
          <w:sz w:val="22"/>
          <w:szCs w:val="22"/>
          <w:lang w:val="de-DE"/>
        </w:rPr>
        <w:t xml:space="preserve"> </w:t>
      </w:r>
      <w:r w:rsidR="00E76DBC" w:rsidRPr="004A6706">
        <w:rPr>
          <w:rFonts w:ascii="CorpoS" w:hAnsi="CorpoS"/>
          <w:sz w:val="22"/>
          <w:szCs w:val="22"/>
          <w:lang w:val="de-DE"/>
        </w:rPr>
        <w:t xml:space="preserve">Die MTU hatte </w:t>
      </w:r>
      <w:r w:rsidR="00CA6358" w:rsidRPr="004A6706">
        <w:rPr>
          <w:rFonts w:ascii="CorpoS" w:hAnsi="CorpoS"/>
          <w:sz w:val="22"/>
          <w:szCs w:val="22"/>
          <w:lang w:val="de-DE"/>
        </w:rPr>
        <w:t xml:space="preserve">Mitte Juni </w:t>
      </w:r>
      <w:r w:rsidR="00E76DBC" w:rsidRPr="004A6706">
        <w:rPr>
          <w:rFonts w:ascii="CorpoS" w:hAnsi="CorpoS"/>
          <w:sz w:val="22"/>
          <w:szCs w:val="22"/>
          <w:lang w:val="de-DE"/>
        </w:rPr>
        <w:t xml:space="preserve">ihre Ergebnisprognose </w:t>
      </w:r>
      <w:r w:rsidR="00A567DB" w:rsidRPr="004A6706">
        <w:rPr>
          <w:rFonts w:ascii="CorpoS" w:hAnsi="CorpoS"/>
          <w:sz w:val="22"/>
          <w:szCs w:val="22"/>
          <w:lang w:val="de-DE"/>
        </w:rPr>
        <w:t xml:space="preserve">erhöht und das Umsatzziel </w:t>
      </w:r>
      <w:r w:rsidR="006B2E3A" w:rsidRPr="004A6706">
        <w:rPr>
          <w:rFonts w:ascii="CorpoS" w:hAnsi="CorpoS"/>
          <w:sz w:val="22"/>
          <w:szCs w:val="22"/>
          <w:lang w:val="de-DE"/>
        </w:rPr>
        <w:t xml:space="preserve">für </w:t>
      </w:r>
      <w:r w:rsidR="00A567DB" w:rsidRPr="004A6706">
        <w:rPr>
          <w:rFonts w:ascii="CorpoS" w:hAnsi="CorpoS"/>
          <w:sz w:val="22"/>
          <w:szCs w:val="22"/>
          <w:lang w:val="de-DE"/>
        </w:rPr>
        <w:t>2023 bestätigt</w:t>
      </w:r>
      <w:r w:rsidR="006B2E3A" w:rsidRPr="004A6706">
        <w:rPr>
          <w:rFonts w:ascii="CorpoS" w:hAnsi="CorpoS"/>
          <w:sz w:val="22"/>
          <w:szCs w:val="22"/>
          <w:lang w:val="de-DE"/>
        </w:rPr>
        <w:t>.</w:t>
      </w:r>
    </w:p>
    <w:p w:rsidR="009F1D7C" w:rsidRPr="00F31A55" w:rsidRDefault="009F1D7C" w:rsidP="00577858">
      <w:pPr>
        <w:tabs>
          <w:tab w:val="left" w:pos="7655"/>
          <w:tab w:val="left" w:pos="9072"/>
        </w:tabs>
        <w:spacing w:line="300" w:lineRule="exact"/>
        <w:ind w:right="284"/>
        <w:jc w:val="both"/>
        <w:rPr>
          <w:rFonts w:ascii="CorpoS" w:hAnsi="CorpoS"/>
          <w:color w:val="FF0000"/>
          <w:sz w:val="22"/>
          <w:szCs w:val="22"/>
          <w:lang w:val="de-DE"/>
        </w:rPr>
      </w:pPr>
    </w:p>
    <w:p w:rsidR="00743FCF" w:rsidRPr="00C60E50" w:rsidRDefault="00E341BA" w:rsidP="002F2104">
      <w:pPr>
        <w:spacing w:line="300" w:lineRule="exact"/>
        <w:ind w:right="284"/>
        <w:jc w:val="both"/>
        <w:rPr>
          <w:rFonts w:ascii="CorpoS" w:hAnsi="CorpoS"/>
          <w:sz w:val="22"/>
          <w:szCs w:val="22"/>
          <w:lang w:val="de-DE"/>
        </w:rPr>
      </w:pPr>
      <w:r>
        <w:rPr>
          <w:rFonts w:ascii="CorpoS" w:hAnsi="CorpoS"/>
          <w:sz w:val="22"/>
          <w:szCs w:val="22"/>
          <w:lang w:val="de-DE"/>
        </w:rPr>
        <w:t>Im ersten Halbjahr 2023 hat d</w:t>
      </w:r>
      <w:r w:rsidR="00743FCF" w:rsidRPr="00C60E50">
        <w:rPr>
          <w:rFonts w:ascii="CorpoS" w:hAnsi="CorpoS"/>
          <w:sz w:val="22"/>
          <w:szCs w:val="22"/>
          <w:lang w:val="de-DE"/>
        </w:rPr>
        <w:t xml:space="preserve">ie MTU </w:t>
      </w:r>
      <w:r w:rsidR="00E76DBC" w:rsidRPr="00C60E50">
        <w:rPr>
          <w:rFonts w:ascii="CorpoS" w:hAnsi="CorpoS"/>
          <w:sz w:val="22"/>
          <w:szCs w:val="22"/>
          <w:lang w:val="de-DE"/>
        </w:rPr>
        <w:t xml:space="preserve">ihren Umsatz in </w:t>
      </w:r>
      <w:r w:rsidR="00743FCF" w:rsidRPr="00C60E50">
        <w:rPr>
          <w:rFonts w:ascii="CorpoS" w:hAnsi="CorpoS"/>
          <w:sz w:val="22"/>
          <w:szCs w:val="22"/>
          <w:lang w:val="de-DE"/>
        </w:rPr>
        <w:t xml:space="preserve">allen Geschäftssegmenten </w:t>
      </w:r>
      <w:r w:rsidR="00E76DBC" w:rsidRPr="00C60E50">
        <w:rPr>
          <w:rFonts w:ascii="CorpoS" w:hAnsi="CorpoS"/>
          <w:sz w:val="22"/>
          <w:szCs w:val="22"/>
          <w:lang w:val="de-DE"/>
        </w:rPr>
        <w:t>gesteigert</w:t>
      </w:r>
      <w:r w:rsidR="00743FCF" w:rsidRPr="00C60E50">
        <w:rPr>
          <w:rFonts w:ascii="CorpoS" w:hAnsi="CorpoS"/>
          <w:sz w:val="22"/>
          <w:szCs w:val="22"/>
          <w:lang w:val="de-DE"/>
        </w:rPr>
        <w:t>.</w:t>
      </w:r>
    </w:p>
    <w:p w:rsidR="00743FCF" w:rsidRPr="00C60E50" w:rsidRDefault="00743FCF" w:rsidP="002F2104">
      <w:pPr>
        <w:spacing w:line="300" w:lineRule="exact"/>
        <w:ind w:right="284"/>
        <w:jc w:val="both"/>
        <w:rPr>
          <w:rFonts w:ascii="CorpoS" w:hAnsi="CorpoS"/>
          <w:sz w:val="22"/>
          <w:szCs w:val="22"/>
          <w:lang w:val="de-DE"/>
        </w:rPr>
      </w:pPr>
    </w:p>
    <w:p w:rsidR="00C60E50" w:rsidRPr="00A53513" w:rsidRDefault="00743FCF" w:rsidP="00C60E50">
      <w:pPr>
        <w:spacing w:line="300" w:lineRule="exact"/>
        <w:ind w:right="283"/>
        <w:jc w:val="both"/>
        <w:rPr>
          <w:rFonts w:ascii="CorpoS" w:hAnsi="CorpoS"/>
          <w:sz w:val="22"/>
          <w:szCs w:val="22"/>
          <w:lang w:val="de-DE"/>
        </w:rPr>
      </w:pPr>
      <w:r w:rsidRPr="00C60E50">
        <w:rPr>
          <w:rFonts w:ascii="CorpoS" w:hAnsi="CorpoS"/>
          <w:sz w:val="22"/>
          <w:szCs w:val="22"/>
          <w:lang w:val="de-DE"/>
        </w:rPr>
        <w:t>D</w:t>
      </w:r>
      <w:r w:rsidR="00C60E50" w:rsidRPr="00C60E50">
        <w:rPr>
          <w:rFonts w:ascii="CorpoS" w:hAnsi="CorpoS"/>
          <w:sz w:val="22"/>
          <w:szCs w:val="22"/>
          <w:lang w:val="de-DE"/>
        </w:rPr>
        <w:t>en höchsten Umsatzzuwachs erzielte die MTU im zivilen Triebwerksgeschäft. Hier kletterte der Umsatz um 4</w:t>
      </w:r>
      <w:r w:rsidR="00B311F9">
        <w:rPr>
          <w:rFonts w:ascii="CorpoS" w:hAnsi="CorpoS"/>
          <w:sz w:val="22"/>
          <w:szCs w:val="22"/>
          <w:lang w:val="de-DE"/>
        </w:rPr>
        <w:t>0</w:t>
      </w:r>
      <w:r w:rsidR="00C60E50" w:rsidRPr="00C60E50">
        <w:rPr>
          <w:rFonts w:ascii="CorpoS" w:hAnsi="CorpoS"/>
          <w:sz w:val="22"/>
          <w:szCs w:val="22"/>
          <w:lang w:val="de-DE"/>
        </w:rPr>
        <w:t xml:space="preserve"> % auf 8</w:t>
      </w:r>
      <w:r w:rsidR="00B311F9">
        <w:rPr>
          <w:rFonts w:ascii="CorpoS" w:hAnsi="CorpoS"/>
          <w:sz w:val="22"/>
          <w:szCs w:val="22"/>
          <w:lang w:val="de-DE"/>
        </w:rPr>
        <w:t>32</w:t>
      </w:r>
      <w:r w:rsidR="00C60E50" w:rsidRPr="00C60E50">
        <w:rPr>
          <w:rFonts w:ascii="CorpoS" w:hAnsi="CorpoS"/>
          <w:sz w:val="22"/>
          <w:szCs w:val="22"/>
          <w:lang w:val="de-DE"/>
        </w:rPr>
        <w:t xml:space="preserve"> Mio. € (1-6/2022: 596 Mio. €). </w:t>
      </w:r>
      <w:r w:rsidR="00A53513" w:rsidRPr="00C60E50">
        <w:rPr>
          <w:rFonts w:ascii="CorpoS" w:hAnsi="CorpoS"/>
          <w:sz w:val="22"/>
          <w:szCs w:val="22"/>
          <w:lang w:val="de-DE"/>
        </w:rPr>
        <w:t>Hauptumsatzträger war der A320neo-Antrieb PW1100G-JM.</w:t>
      </w:r>
      <w:r w:rsidR="00A53513">
        <w:rPr>
          <w:rFonts w:ascii="CorpoS" w:hAnsi="CorpoS"/>
          <w:sz w:val="22"/>
          <w:szCs w:val="22"/>
          <w:lang w:val="de-DE"/>
        </w:rPr>
        <w:t xml:space="preserve"> Innerhalb des zivilen Triebwerksgeschäfts hat</w:t>
      </w:r>
      <w:r w:rsidR="006C4E73">
        <w:rPr>
          <w:rFonts w:ascii="CorpoS" w:hAnsi="CorpoS"/>
          <w:sz w:val="22"/>
          <w:szCs w:val="22"/>
          <w:lang w:val="de-DE"/>
        </w:rPr>
        <w:t xml:space="preserve"> der organische Umsatz des zivilen Seriengeschäfts auf Dollar-Basis im Dreißiger-Prozentbereich zugenommen. </w:t>
      </w:r>
      <w:r w:rsidR="006E660C">
        <w:rPr>
          <w:rFonts w:ascii="CorpoS" w:hAnsi="CorpoS"/>
          <w:sz w:val="22"/>
          <w:szCs w:val="22"/>
          <w:lang w:val="de-DE"/>
        </w:rPr>
        <w:t xml:space="preserve">Im Ersatzteilgeschäft lag das </w:t>
      </w:r>
      <w:r w:rsidR="00237AEE">
        <w:rPr>
          <w:rFonts w:ascii="CorpoS" w:hAnsi="CorpoS"/>
          <w:sz w:val="22"/>
          <w:szCs w:val="22"/>
          <w:lang w:val="de-DE"/>
        </w:rPr>
        <w:br w:type="textWrapping" w:clear="all"/>
      </w:r>
      <w:r w:rsidR="006E660C">
        <w:rPr>
          <w:rFonts w:ascii="CorpoS" w:hAnsi="CorpoS"/>
          <w:sz w:val="22"/>
          <w:szCs w:val="22"/>
          <w:lang w:val="de-DE"/>
        </w:rPr>
        <w:t xml:space="preserve">organische Umsatzplus in US-Dollar </w:t>
      </w:r>
      <w:r w:rsidR="00726470">
        <w:rPr>
          <w:rFonts w:ascii="CorpoS" w:hAnsi="CorpoS"/>
          <w:sz w:val="22"/>
          <w:szCs w:val="22"/>
          <w:lang w:val="de-DE"/>
        </w:rPr>
        <w:t>im niedrigen Zwanziger-Prozentbereich</w:t>
      </w:r>
      <w:r w:rsidR="00C60E50" w:rsidRPr="00F31A55">
        <w:rPr>
          <w:rFonts w:ascii="CorpoS" w:hAnsi="CorpoS"/>
          <w:color w:val="FF0000"/>
          <w:sz w:val="22"/>
          <w:szCs w:val="22"/>
          <w:lang w:val="de-DE"/>
        </w:rPr>
        <w:t xml:space="preserve">. </w:t>
      </w:r>
      <w:r w:rsidR="00C60E50" w:rsidRPr="00A53513">
        <w:rPr>
          <w:rFonts w:ascii="CorpoS" w:hAnsi="CorpoS"/>
          <w:sz w:val="22"/>
          <w:szCs w:val="22"/>
          <w:lang w:val="de-DE"/>
        </w:rPr>
        <w:t>„</w:t>
      </w:r>
      <w:r w:rsidR="00A53513" w:rsidRPr="00A53513">
        <w:rPr>
          <w:rFonts w:ascii="CorpoS" w:hAnsi="CorpoS"/>
          <w:sz w:val="22"/>
          <w:szCs w:val="22"/>
          <w:lang w:val="de-DE"/>
        </w:rPr>
        <w:t xml:space="preserve">Im Ersatzteilgeschäft gab es über alle Plattformen hinweg Wachstum – vor allem bei </w:t>
      </w:r>
      <w:proofErr w:type="spellStart"/>
      <w:r w:rsidR="00A53513" w:rsidRPr="00A53513">
        <w:rPr>
          <w:rFonts w:ascii="CorpoS" w:hAnsi="CorpoS"/>
          <w:sz w:val="22"/>
          <w:szCs w:val="22"/>
          <w:lang w:val="de-DE"/>
        </w:rPr>
        <w:t>Widebody</w:t>
      </w:r>
      <w:proofErr w:type="spellEnd"/>
      <w:r w:rsidR="00A53513" w:rsidRPr="00A53513">
        <w:rPr>
          <w:rFonts w:ascii="CorpoS" w:hAnsi="CorpoS"/>
          <w:sz w:val="22"/>
          <w:szCs w:val="22"/>
          <w:lang w:val="de-DE"/>
        </w:rPr>
        <w:t>-Antrieben und Industriegas</w:t>
      </w:r>
      <w:r w:rsidR="00237AEE">
        <w:rPr>
          <w:rFonts w:ascii="CorpoS" w:hAnsi="CorpoS"/>
          <w:sz w:val="22"/>
          <w:szCs w:val="22"/>
          <w:lang w:val="de-DE"/>
        </w:rPr>
        <w:t>-</w:t>
      </w:r>
      <w:r w:rsidR="00237AEE">
        <w:rPr>
          <w:rFonts w:ascii="CorpoS" w:hAnsi="CorpoS"/>
          <w:sz w:val="22"/>
          <w:szCs w:val="22"/>
          <w:lang w:val="de-DE"/>
        </w:rPr>
        <w:br w:type="textWrapping" w:clear="all"/>
      </w:r>
      <w:proofErr w:type="spellStart"/>
      <w:r w:rsidR="00A53513" w:rsidRPr="00A53513">
        <w:rPr>
          <w:rFonts w:ascii="CorpoS" w:hAnsi="CorpoS"/>
          <w:sz w:val="22"/>
          <w:szCs w:val="22"/>
          <w:lang w:val="de-DE"/>
        </w:rPr>
        <w:t>turbinen</w:t>
      </w:r>
      <w:proofErr w:type="spellEnd"/>
      <w:r w:rsidR="006E660C" w:rsidRPr="00A53513">
        <w:rPr>
          <w:rFonts w:ascii="CorpoS" w:hAnsi="CorpoS"/>
          <w:sz w:val="22"/>
          <w:szCs w:val="22"/>
          <w:lang w:val="de-DE"/>
        </w:rPr>
        <w:t xml:space="preserve">. </w:t>
      </w:r>
      <w:r w:rsidR="00A53513" w:rsidRPr="00A53513">
        <w:rPr>
          <w:rFonts w:ascii="CorpoS" w:hAnsi="CorpoS"/>
          <w:sz w:val="22"/>
          <w:szCs w:val="22"/>
          <w:lang w:val="de-DE"/>
        </w:rPr>
        <w:t xml:space="preserve">Die Getriebefan-Triebwerke, das </w:t>
      </w:r>
      <w:proofErr w:type="spellStart"/>
      <w:r w:rsidR="00A53513" w:rsidRPr="00A53513">
        <w:rPr>
          <w:rFonts w:ascii="CorpoS" w:hAnsi="CorpoS"/>
          <w:sz w:val="22"/>
          <w:szCs w:val="22"/>
          <w:lang w:val="de-DE"/>
        </w:rPr>
        <w:t>GEnx</w:t>
      </w:r>
      <w:proofErr w:type="spellEnd"/>
      <w:r w:rsidR="00A53513" w:rsidRPr="00A53513">
        <w:rPr>
          <w:rFonts w:ascii="CorpoS" w:hAnsi="CorpoS"/>
          <w:sz w:val="22"/>
          <w:szCs w:val="22"/>
          <w:lang w:val="de-DE"/>
        </w:rPr>
        <w:t xml:space="preserve">, Antriebe für Business Jets und Industriegasturbinen sorgten im </w:t>
      </w:r>
      <w:r w:rsidR="006E660C" w:rsidRPr="00A53513">
        <w:rPr>
          <w:rFonts w:ascii="CorpoS" w:hAnsi="CorpoS"/>
          <w:sz w:val="22"/>
          <w:szCs w:val="22"/>
          <w:lang w:val="de-DE"/>
        </w:rPr>
        <w:t xml:space="preserve">Seriengeschäft </w:t>
      </w:r>
      <w:r w:rsidR="00A53513" w:rsidRPr="00A53513">
        <w:rPr>
          <w:rFonts w:ascii="CorpoS" w:hAnsi="CorpoS"/>
          <w:sz w:val="22"/>
          <w:szCs w:val="22"/>
          <w:lang w:val="de-DE"/>
        </w:rPr>
        <w:t>für Wachstum</w:t>
      </w:r>
      <w:r w:rsidR="00C60E50" w:rsidRPr="00A53513">
        <w:rPr>
          <w:rFonts w:ascii="CorpoS" w:hAnsi="CorpoS"/>
          <w:sz w:val="22"/>
          <w:szCs w:val="22"/>
          <w:lang w:val="de-DE"/>
        </w:rPr>
        <w:t xml:space="preserve">“, </w:t>
      </w:r>
      <w:r w:rsidR="00A53513">
        <w:rPr>
          <w:rFonts w:ascii="CorpoS" w:hAnsi="CorpoS"/>
          <w:sz w:val="22"/>
          <w:szCs w:val="22"/>
          <w:lang w:val="de-DE"/>
        </w:rPr>
        <w:t>ergänzte</w:t>
      </w:r>
      <w:r w:rsidR="00C60E50" w:rsidRPr="00A53513">
        <w:rPr>
          <w:rFonts w:ascii="CorpoS" w:hAnsi="CorpoS"/>
          <w:sz w:val="22"/>
          <w:szCs w:val="22"/>
          <w:lang w:val="de-DE"/>
        </w:rPr>
        <w:t xml:space="preserve"> Finanzvorstand Peter </w:t>
      </w:r>
      <w:proofErr w:type="spellStart"/>
      <w:r w:rsidR="00C60E50" w:rsidRPr="00A53513">
        <w:rPr>
          <w:rFonts w:ascii="CorpoS" w:hAnsi="CorpoS"/>
          <w:sz w:val="22"/>
          <w:szCs w:val="22"/>
          <w:lang w:val="de-DE"/>
        </w:rPr>
        <w:t>Kameritsch</w:t>
      </w:r>
      <w:proofErr w:type="spellEnd"/>
      <w:r w:rsidR="00C60E50" w:rsidRPr="00A53513">
        <w:rPr>
          <w:rFonts w:ascii="CorpoS" w:hAnsi="CorpoS"/>
          <w:sz w:val="22"/>
          <w:szCs w:val="22"/>
          <w:lang w:val="de-DE"/>
        </w:rPr>
        <w:t xml:space="preserve">. </w:t>
      </w:r>
    </w:p>
    <w:p w:rsidR="00C60E50" w:rsidRPr="00A53513" w:rsidRDefault="00C60E50" w:rsidP="002F2104">
      <w:pPr>
        <w:spacing w:line="300" w:lineRule="exact"/>
        <w:ind w:right="284"/>
        <w:jc w:val="both"/>
        <w:rPr>
          <w:rFonts w:ascii="CorpoS" w:hAnsi="CorpoS"/>
          <w:sz w:val="22"/>
          <w:szCs w:val="22"/>
          <w:lang w:val="de-DE"/>
        </w:rPr>
      </w:pPr>
    </w:p>
    <w:p w:rsidR="00915B55" w:rsidRPr="00C80865" w:rsidRDefault="00C60E50" w:rsidP="002F2104">
      <w:pPr>
        <w:spacing w:line="300" w:lineRule="exact"/>
        <w:ind w:right="284"/>
        <w:jc w:val="both"/>
        <w:rPr>
          <w:rFonts w:ascii="CorpoS" w:hAnsi="CorpoS"/>
          <w:sz w:val="22"/>
          <w:szCs w:val="22"/>
          <w:lang w:val="de-DE"/>
        </w:rPr>
      </w:pPr>
      <w:r w:rsidRPr="00C60E50">
        <w:rPr>
          <w:rFonts w:ascii="CorpoS" w:hAnsi="CorpoS"/>
          <w:sz w:val="22"/>
          <w:szCs w:val="22"/>
          <w:lang w:val="de-DE"/>
        </w:rPr>
        <w:t xml:space="preserve">Der Umsatz der zivilen Instandhaltung stieg im ersten Halbjahr 2023 um 22 % von 1,7 Mrd. € auf 2,1 Mrd. €. </w:t>
      </w:r>
      <w:r w:rsidR="00743FCF" w:rsidRPr="00C60E50">
        <w:rPr>
          <w:rFonts w:ascii="CorpoS" w:hAnsi="CorpoS"/>
          <w:sz w:val="22"/>
          <w:szCs w:val="22"/>
          <w:lang w:val="de-DE"/>
        </w:rPr>
        <w:t xml:space="preserve">Die wichtigsten Umsatzträger waren </w:t>
      </w:r>
      <w:r w:rsidR="00275114">
        <w:rPr>
          <w:rFonts w:ascii="CorpoS" w:hAnsi="CorpoS"/>
          <w:sz w:val="22"/>
          <w:szCs w:val="22"/>
          <w:lang w:val="de-DE"/>
        </w:rPr>
        <w:t>das</w:t>
      </w:r>
      <w:r w:rsidR="00A6653C" w:rsidRPr="00C60E50">
        <w:rPr>
          <w:rFonts w:ascii="CorpoS" w:hAnsi="CorpoS"/>
          <w:sz w:val="22"/>
          <w:szCs w:val="22"/>
          <w:lang w:val="de-DE"/>
        </w:rPr>
        <w:t xml:space="preserve"> PW1100G-JM und </w:t>
      </w:r>
      <w:r w:rsidR="00743FCF" w:rsidRPr="00C60E50">
        <w:rPr>
          <w:rFonts w:ascii="CorpoS" w:hAnsi="CorpoS"/>
          <w:sz w:val="22"/>
          <w:szCs w:val="22"/>
          <w:lang w:val="de-DE"/>
        </w:rPr>
        <w:t>das V2500 für die klassische A320-Familie</w:t>
      </w:r>
      <w:r w:rsidR="00743FCF" w:rsidRPr="003A409C">
        <w:rPr>
          <w:rFonts w:ascii="CorpoS" w:hAnsi="CorpoS"/>
          <w:sz w:val="22"/>
          <w:szCs w:val="22"/>
          <w:lang w:val="de-DE"/>
        </w:rPr>
        <w:t>.</w:t>
      </w:r>
      <w:r w:rsidR="00AB5AF3" w:rsidRPr="003A409C">
        <w:rPr>
          <w:rFonts w:ascii="CorpoS" w:hAnsi="CorpoS"/>
          <w:sz w:val="22"/>
          <w:szCs w:val="22"/>
          <w:lang w:val="de-DE"/>
        </w:rPr>
        <w:t xml:space="preserve"> </w:t>
      </w:r>
      <w:proofErr w:type="spellStart"/>
      <w:r w:rsidR="00FC6236" w:rsidRPr="003A409C">
        <w:rPr>
          <w:rFonts w:ascii="CorpoS" w:hAnsi="CorpoS"/>
          <w:sz w:val="22"/>
          <w:szCs w:val="22"/>
          <w:lang w:val="de-DE"/>
        </w:rPr>
        <w:t>Kameritsch</w:t>
      </w:r>
      <w:proofErr w:type="spellEnd"/>
      <w:r w:rsidR="00FC6236" w:rsidRPr="003A409C">
        <w:rPr>
          <w:rFonts w:ascii="CorpoS" w:hAnsi="CorpoS"/>
          <w:sz w:val="22"/>
          <w:szCs w:val="22"/>
          <w:lang w:val="de-DE"/>
        </w:rPr>
        <w:t xml:space="preserve">: „Gestützt wurde das Wachstum vor allem durch die Getriebefan-Instandhaltung. Hier zeigt sich der weitere </w:t>
      </w:r>
      <w:proofErr w:type="spellStart"/>
      <w:r w:rsidR="006E660C" w:rsidRPr="003A409C">
        <w:rPr>
          <w:rFonts w:ascii="CorpoS" w:hAnsi="CorpoS"/>
          <w:sz w:val="22"/>
          <w:szCs w:val="22"/>
          <w:lang w:val="de-DE"/>
        </w:rPr>
        <w:t>Hochlauf</w:t>
      </w:r>
      <w:proofErr w:type="spellEnd"/>
      <w:r w:rsidR="006E660C" w:rsidRPr="003A409C">
        <w:rPr>
          <w:rFonts w:ascii="CorpoS" w:hAnsi="CorpoS"/>
          <w:sz w:val="22"/>
          <w:szCs w:val="22"/>
          <w:lang w:val="de-DE"/>
        </w:rPr>
        <w:t xml:space="preserve"> der </w:t>
      </w:r>
      <w:r w:rsidR="003A409C" w:rsidRPr="003A409C">
        <w:rPr>
          <w:rFonts w:ascii="CorpoS" w:hAnsi="CorpoS"/>
          <w:sz w:val="22"/>
          <w:szCs w:val="22"/>
          <w:lang w:val="de-DE"/>
        </w:rPr>
        <w:t>GTF-</w:t>
      </w:r>
      <w:r w:rsidR="006E660C" w:rsidRPr="003A409C">
        <w:rPr>
          <w:rFonts w:ascii="CorpoS" w:hAnsi="CorpoS"/>
          <w:sz w:val="22"/>
          <w:szCs w:val="22"/>
          <w:lang w:val="de-DE"/>
        </w:rPr>
        <w:t xml:space="preserve">MRO bei der MTU Maintenance </w:t>
      </w:r>
      <w:proofErr w:type="spellStart"/>
      <w:r w:rsidR="006E660C" w:rsidRPr="003A409C">
        <w:rPr>
          <w:rFonts w:ascii="CorpoS" w:hAnsi="CorpoS"/>
          <w:sz w:val="22"/>
          <w:szCs w:val="22"/>
          <w:lang w:val="de-DE"/>
        </w:rPr>
        <w:t>Zhuhai</w:t>
      </w:r>
      <w:proofErr w:type="spellEnd"/>
      <w:r w:rsidR="006E660C" w:rsidRPr="003A409C">
        <w:rPr>
          <w:rFonts w:ascii="CorpoS" w:hAnsi="CorpoS"/>
          <w:sz w:val="22"/>
          <w:szCs w:val="22"/>
          <w:lang w:val="de-DE"/>
        </w:rPr>
        <w:t xml:space="preserve"> </w:t>
      </w:r>
      <w:r w:rsidR="00FC6236" w:rsidRPr="003A409C">
        <w:rPr>
          <w:rFonts w:ascii="CorpoS" w:hAnsi="CorpoS"/>
          <w:sz w:val="22"/>
          <w:szCs w:val="22"/>
          <w:lang w:val="de-DE"/>
        </w:rPr>
        <w:t xml:space="preserve">in China </w:t>
      </w:r>
      <w:r w:rsidR="006E660C" w:rsidRPr="003A409C">
        <w:rPr>
          <w:rFonts w:ascii="CorpoS" w:hAnsi="CorpoS"/>
          <w:sz w:val="22"/>
          <w:szCs w:val="22"/>
          <w:lang w:val="de-DE"/>
        </w:rPr>
        <w:t>und der EME Aero in Polen. Positiv</w:t>
      </w:r>
      <w:r w:rsidR="003A409C" w:rsidRPr="003A409C">
        <w:rPr>
          <w:rFonts w:ascii="CorpoS" w:hAnsi="CorpoS"/>
          <w:sz w:val="22"/>
          <w:szCs w:val="22"/>
          <w:lang w:val="de-DE"/>
        </w:rPr>
        <w:t xml:space="preserve">e Impulse kamen auch aus der Instandhaltung von Antrieben für </w:t>
      </w:r>
      <w:r w:rsidR="00237AEE">
        <w:rPr>
          <w:rFonts w:ascii="CorpoS" w:hAnsi="CorpoS"/>
          <w:sz w:val="22"/>
          <w:szCs w:val="22"/>
          <w:lang w:val="de-DE"/>
        </w:rPr>
        <w:br w:type="textWrapping" w:clear="all"/>
      </w:r>
      <w:r w:rsidR="003A409C" w:rsidRPr="00C80865">
        <w:rPr>
          <w:rFonts w:ascii="CorpoS" w:hAnsi="CorpoS"/>
          <w:sz w:val="22"/>
          <w:szCs w:val="22"/>
          <w:lang w:val="de-DE"/>
        </w:rPr>
        <w:t>Langstrecken- und Frachtflugzeuge, Industriegasturbinen und aus unserem Leasing-Geschäft.</w:t>
      </w:r>
      <w:r w:rsidR="006E660C" w:rsidRPr="00C80865">
        <w:rPr>
          <w:rFonts w:ascii="CorpoS" w:hAnsi="CorpoS"/>
          <w:sz w:val="22"/>
          <w:szCs w:val="22"/>
          <w:lang w:val="de-DE"/>
        </w:rPr>
        <w:t>“</w:t>
      </w:r>
      <w:r w:rsidR="00A009F2" w:rsidRPr="00C80865">
        <w:rPr>
          <w:rFonts w:ascii="CorpoS" w:hAnsi="CorpoS"/>
          <w:sz w:val="22"/>
          <w:szCs w:val="22"/>
          <w:lang w:val="de-DE"/>
        </w:rPr>
        <w:t xml:space="preserve"> </w:t>
      </w:r>
      <w:r w:rsidR="00F62D9C" w:rsidRPr="00C80865">
        <w:rPr>
          <w:rFonts w:ascii="CorpoS" w:hAnsi="CorpoS"/>
          <w:sz w:val="22"/>
          <w:szCs w:val="22"/>
          <w:lang w:val="de-DE"/>
        </w:rPr>
        <w:t xml:space="preserve">Pratt &amp; Whitney hat ein neues </w:t>
      </w:r>
      <w:r w:rsidR="00A009F2" w:rsidRPr="00C80865">
        <w:rPr>
          <w:rFonts w:ascii="CorpoS" w:hAnsi="CorpoS"/>
          <w:sz w:val="22"/>
          <w:szCs w:val="22"/>
          <w:lang w:val="de-DE"/>
        </w:rPr>
        <w:t>Getriebefan-Inspektionsprogramm</w:t>
      </w:r>
      <w:r w:rsidR="00F62D9C" w:rsidRPr="00C80865">
        <w:rPr>
          <w:rFonts w:ascii="CorpoS" w:hAnsi="CorpoS"/>
          <w:sz w:val="22"/>
          <w:szCs w:val="22"/>
          <w:lang w:val="de-DE"/>
        </w:rPr>
        <w:t xml:space="preserve"> angekündigt</w:t>
      </w:r>
      <w:r w:rsidR="00A009F2" w:rsidRPr="00C80865">
        <w:rPr>
          <w:rFonts w:ascii="CorpoS" w:hAnsi="CorpoS"/>
          <w:sz w:val="22"/>
          <w:szCs w:val="22"/>
          <w:lang w:val="de-DE"/>
        </w:rPr>
        <w:t xml:space="preserve">, das </w:t>
      </w:r>
      <w:r w:rsidR="00B92860" w:rsidRPr="00C80865">
        <w:rPr>
          <w:rFonts w:ascii="CorpoS" w:hAnsi="CorpoS"/>
          <w:sz w:val="22"/>
          <w:szCs w:val="22"/>
          <w:lang w:val="de-DE"/>
        </w:rPr>
        <w:t>im</w:t>
      </w:r>
      <w:r w:rsidR="00A009F2" w:rsidRPr="00C80865">
        <w:rPr>
          <w:rFonts w:ascii="CorpoS" w:hAnsi="CorpoS"/>
          <w:sz w:val="22"/>
          <w:szCs w:val="22"/>
          <w:lang w:val="de-DE"/>
        </w:rPr>
        <w:t xml:space="preserve"> September beginnt und </w:t>
      </w:r>
      <w:r w:rsidR="00F62D9C" w:rsidRPr="00C80865">
        <w:rPr>
          <w:rFonts w:ascii="CorpoS" w:hAnsi="CorpoS"/>
          <w:sz w:val="22"/>
          <w:szCs w:val="22"/>
          <w:lang w:val="de-DE"/>
        </w:rPr>
        <w:t>zunächst</w:t>
      </w:r>
      <w:r w:rsidR="00A009F2" w:rsidRPr="00C80865">
        <w:rPr>
          <w:rFonts w:ascii="CorpoS" w:hAnsi="CorpoS"/>
          <w:sz w:val="22"/>
          <w:szCs w:val="22"/>
          <w:lang w:val="de-DE"/>
        </w:rPr>
        <w:t xml:space="preserve"> 200 Triebwerke betrifft</w:t>
      </w:r>
      <w:r w:rsidR="00F62D9C" w:rsidRPr="00C80865">
        <w:rPr>
          <w:rFonts w:ascii="CorpoS" w:hAnsi="CorpoS"/>
          <w:sz w:val="22"/>
          <w:szCs w:val="22"/>
          <w:lang w:val="de-DE"/>
        </w:rPr>
        <w:t>. Dazu sagte</w:t>
      </w:r>
      <w:r w:rsidR="00A009F2" w:rsidRPr="00C80865">
        <w:rPr>
          <w:rFonts w:ascii="CorpoS" w:hAnsi="CorpoS"/>
          <w:sz w:val="22"/>
          <w:szCs w:val="22"/>
          <w:lang w:val="de-DE"/>
        </w:rPr>
        <w:t xml:space="preserve"> Wagner: „Gemeinsam mit unseren Partnern setzen w</w:t>
      </w:r>
      <w:r w:rsidR="00F43B0A" w:rsidRPr="00C80865">
        <w:rPr>
          <w:rFonts w:ascii="CorpoS" w:hAnsi="CorpoS"/>
          <w:sz w:val="22"/>
          <w:szCs w:val="22"/>
          <w:lang w:val="de-DE"/>
        </w:rPr>
        <w:t>ir alles daran, die Situation effizient</w:t>
      </w:r>
      <w:r w:rsidR="00A009F2" w:rsidRPr="00C80865">
        <w:rPr>
          <w:rFonts w:ascii="CorpoS" w:hAnsi="CorpoS"/>
          <w:sz w:val="22"/>
          <w:szCs w:val="22"/>
          <w:lang w:val="de-DE"/>
        </w:rPr>
        <w:t xml:space="preserve"> zu managen und die Auswirkungen auf unsere Kunden so weit wie </w:t>
      </w:r>
      <w:r w:rsidR="00A009F2" w:rsidRPr="00C80865">
        <w:rPr>
          <w:rFonts w:ascii="CorpoS" w:hAnsi="CorpoS"/>
          <w:sz w:val="22"/>
          <w:szCs w:val="22"/>
          <w:lang w:val="de-DE"/>
        </w:rPr>
        <w:lastRenderedPageBreak/>
        <w:t>möglich zu begrenzen. Mir ist wichtig, zu erwähnen, dass es sich nicht um ein Triebwerks-Design-Problem handelt. Die Produktion von neuen Triebwerken und Ersatzteilen ist davon nicht betroffen.“</w:t>
      </w:r>
    </w:p>
    <w:p w:rsidR="003A409C" w:rsidRPr="00C80865" w:rsidRDefault="003A409C" w:rsidP="00915B55">
      <w:pPr>
        <w:spacing w:line="300" w:lineRule="exact"/>
        <w:ind w:right="284"/>
        <w:jc w:val="both"/>
        <w:rPr>
          <w:rFonts w:ascii="CorpoS" w:hAnsi="CorpoS"/>
          <w:sz w:val="22"/>
          <w:szCs w:val="22"/>
          <w:lang w:val="de-DE"/>
        </w:rPr>
      </w:pPr>
    </w:p>
    <w:p w:rsidR="00915B55" w:rsidRDefault="0087500B" w:rsidP="00915B55">
      <w:pPr>
        <w:spacing w:line="300" w:lineRule="exact"/>
        <w:ind w:right="284"/>
        <w:jc w:val="both"/>
        <w:rPr>
          <w:rFonts w:ascii="CorpoS" w:hAnsi="CorpoS"/>
          <w:sz w:val="22"/>
          <w:szCs w:val="22"/>
          <w:lang w:val="de-DE"/>
        </w:rPr>
      </w:pPr>
      <w:r w:rsidRPr="00C80865">
        <w:rPr>
          <w:rFonts w:ascii="CorpoS" w:hAnsi="CorpoS"/>
          <w:sz w:val="22"/>
          <w:szCs w:val="22"/>
          <w:lang w:val="de-DE"/>
        </w:rPr>
        <w:t>Im Militärgeschäft lag das Umsatzplus bei 7 % auf 229 Mio. € (1-6/2022: 213 Mio. €). Der wichtigste Umsatzträger war der Eurofighter-Antrieb EJ200</w:t>
      </w:r>
      <w:r w:rsidR="000E2D21" w:rsidRPr="00C80865">
        <w:rPr>
          <w:rFonts w:ascii="CorpoS" w:hAnsi="CorpoS"/>
          <w:sz w:val="22"/>
          <w:szCs w:val="22"/>
          <w:lang w:val="de-DE"/>
        </w:rPr>
        <w:t>.</w:t>
      </w:r>
    </w:p>
    <w:p w:rsidR="000E2D21" w:rsidRPr="003A409C" w:rsidRDefault="000E2D21" w:rsidP="00915B55">
      <w:pPr>
        <w:spacing w:line="300" w:lineRule="exact"/>
        <w:ind w:right="284"/>
        <w:jc w:val="both"/>
        <w:rPr>
          <w:rFonts w:ascii="CorpoS" w:hAnsi="CorpoS"/>
          <w:sz w:val="22"/>
          <w:szCs w:val="22"/>
          <w:lang w:val="de-DE"/>
        </w:rPr>
      </w:pPr>
    </w:p>
    <w:p w:rsidR="00DA0A70" w:rsidRPr="00294931" w:rsidRDefault="00B02EF1" w:rsidP="00DA0A70">
      <w:pPr>
        <w:tabs>
          <w:tab w:val="left" w:pos="7655"/>
          <w:tab w:val="left" w:pos="9072"/>
        </w:tabs>
        <w:spacing w:line="300" w:lineRule="exact"/>
        <w:ind w:right="283"/>
        <w:jc w:val="both"/>
        <w:rPr>
          <w:rFonts w:ascii="CorpoS" w:hAnsi="CorpoS"/>
          <w:sz w:val="22"/>
          <w:szCs w:val="22"/>
          <w:lang w:val="de-DE"/>
        </w:rPr>
      </w:pPr>
      <w:r w:rsidRPr="003A409C">
        <w:rPr>
          <w:rFonts w:ascii="CorpoS" w:hAnsi="CorpoS"/>
          <w:sz w:val="22"/>
          <w:szCs w:val="22"/>
          <w:lang w:val="de-DE"/>
        </w:rPr>
        <w:t xml:space="preserve">Der Auftragsbestand </w:t>
      </w:r>
      <w:r w:rsidR="002D201F" w:rsidRPr="003A409C">
        <w:rPr>
          <w:rFonts w:ascii="CorpoS" w:hAnsi="CorpoS"/>
          <w:sz w:val="22"/>
          <w:szCs w:val="22"/>
          <w:lang w:val="de-DE"/>
        </w:rPr>
        <w:t xml:space="preserve">erreichte </w:t>
      </w:r>
      <w:r w:rsidR="00294931" w:rsidRPr="003A409C">
        <w:rPr>
          <w:rFonts w:ascii="CorpoS" w:hAnsi="CorpoS"/>
          <w:sz w:val="22"/>
          <w:szCs w:val="22"/>
          <w:lang w:val="de-DE"/>
        </w:rPr>
        <w:t>im ersten Halbjahr 21</w:t>
      </w:r>
      <w:r w:rsidR="00294931" w:rsidRPr="00294931">
        <w:rPr>
          <w:rFonts w:ascii="CorpoS" w:hAnsi="CorpoS"/>
          <w:sz w:val="22"/>
          <w:szCs w:val="22"/>
          <w:lang w:val="de-DE"/>
        </w:rPr>
        <w:t xml:space="preserve">,9 Mrd. € </w:t>
      </w:r>
      <w:r w:rsidR="00672400" w:rsidRPr="00294931">
        <w:rPr>
          <w:rFonts w:ascii="CorpoS" w:hAnsi="CorpoS"/>
          <w:sz w:val="22"/>
          <w:szCs w:val="22"/>
          <w:lang w:val="de-DE"/>
        </w:rPr>
        <w:t>(</w:t>
      </w:r>
      <w:r w:rsidRPr="00294931">
        <w:rPr>
          <w:rFonts w:ascii="CorpoS" w:hAnsi="CorpoS"/>
          <w:sz w:val="22"/>
          <w:szCs w:val="22"/>
          <w:lang w:val="de-DE"/>
        </w:rPr>
        <w:t xml:space="preserve">31. Dezember </w:t>
      </w:r>
      <w:r w:rsidR="00695D04" w:rsidRPr="00294931">
        <w:rPr>
          <w:rFonts w:ascii="CorpoS" w:hAnsi="CorpoS"/>
          <w:sz w:val="22"/>
          <w:szCs w:val="22"/>
          <w:lang w:val="de-DE"/>
        </w:rPr>
        <w:t>20</w:t>
      </w:r>
      <w:r w:rsidR="00210913" w:rsidRPr="00294931">
        <w:rPr>
          <w:rFonts w:ascii="CorpoS" w:hAnsi="CorpoS"/>
          <w:sz w:val="22"/>
          <w:szCs w:val="22"/>
          <w:lang w:val="de-DE"/>
        </w:rPr>
        <w:t>2</w:t>
      </w:r>
      <w:r w:rsidR="00294931" w:rsidRPr="00294931">
        <w:rPr>
          <w:rFonts w:ascii="CorpoS" w:hAnsi="CorpoS"/>
          <w:sz w:val="22"/>
          <w:szCs w:val="22"/>
          <w:lang w:val="de-DE"/>
        </w:rPr>
        <w:t>2</w:t>
      </w:r>
      <w:r w:rsidR="00695D04" w:rsidRPr="00294931">
        <w:rPr>
          <w:rFonts w:ascii="CorpoS" w:hAnsi="CorpoS"/>
          <w:sz w:val="22"/>
          <w:szCs w:val="22"/>
          <w:lang w:val="de-DE"/>
        </w:rPr>
        <w:t xml:space="preserve">: </w:t>
      </w:r>
      <w:r w:rsidR="00672400" w:rsidRPr="00294931">
        <w:rPr>
          <w:rFonts w:ascii="CorpoS" w:hAnsi="CorpoS"/>
          <w:sz w:val="22"/>
          <w:szCs w:val="22"/>
          <w:lang w:val="de-DE"/>
        </w:rPr>
        <w:t>22,</w:t>
      </w:r>
      <w:r w:rsidR="00294931" w:rsidRPr="00294931">
        <w:rPr>
          <w:rFonts w:ascii="CorpoS" w:hAnsi="CorpoS"/>
          <w:sz w:val="22"/>
          <w:szCs w:val="22"/>
          <w:lang w:val="de-DE"/>
        </w:rPr>
        <w:t>3</w:t>
      </w:r>
      <w:r w:rsidR="00695D04" w:rsidRPr="00294931">
        <w:rPr>
          <w:rFonts w:ascii="CorpoS" w:hAnsi="CorpoS"/>
          <w:sz w:val="22"/>
          <w:szCs w:val="22"/>
          <w:lang w:val="de-DE"/>
        </w:rPr>
        <w:t xml:space="preserve"> Mrd. €)</w:t>
      </w:r>
      <w:r w:rsidR="00B13D4F" w:rsidRPr="00294931">
        <w:rPr>
          <w:rFonts w:ascii="CorpoS" w:hAnsi="CorpoS"/>
          <w:sz w:val="22"/>
          <w:szCs w:val="22"/>
          <w:lang w:val="de-DE"/>
        </w:rPr>
        <w:t xml:space="preserve">. </w:t>
      </w:r>
      <w:r w:rsidR="00C73DDA">
        <w:rPr>
          <w:rFonts w:ascii="CorpoS" w:hAnsi="CorpoS"/>
          <w:sz w:val="22"/>
          <w:szCs w:val="22"/>
          <w:lang w:val="de-DE"/>
        </w:rPr>
        <w:t>Die</w:t>
      </w:r>
      <w:r w:rsidR="00672400" w:rsidRPr="00294931">
        <w:rPr>
          <w:rFonts w:ascii="CorpoS" w:hAnsi="CorpoS"/>
          <w:sz w:val="22"/>
          <w:szCs w:val="22"/>
          <w:lang w:val="de-DE"/>
        </w:rPr>
        <w:t xml:space="preserve"> </w:t>
      </w:r>
      <w:r w:rsidR="00A567DB" w:rsidRPr="00294931">
        <w:rPr>
          <w:rFonts w:ascii="CorpoS" w:hAnsi="CorpoS"/>
          <w:sz w:val="22"/>
          <w:szCs w:val="22"/>
          <w:lang w:val="de-DE"/>
        </w:rPr>
        <w:t>meisten</w:t>
      </w:r>
      <w:r w:rsidR="00672400" w:rsidRPr="00294931">
        <w:rPr>
          <w:rFonts w:ascii="CorpoS" w:hAnsi="CorpoS"/>
          <w:sz w:val="22"/>
          <w:szCs w:val="22"/>
          <w:lang w:val="de-DE"/>
        </w:rPr>
        <w:t xml:space="preserve"> Aufträge entfiel</w:t>
      </w:r>
      <w:r w:rsidR="00A567DB" w:rsidRPr="00294931">
        <w:rPr>
          <w:rFonts w:ascii="CorpoS" w:hAnsi="CorpoS"/>
          <w:sz w:val="22"/>
          <w:szCs w:val="22"/>
          <w:lang w:val="de-DE"/>
        </w:rPr>
        <w:t>en</w:t>
      </w:r>
      <w:r w:rsidR="00672400" w:rsidRPr="00294931">
        <w:rPr>
          <w:rFonts w:ascii="CorpoS" w:hAnsi="CorpoS"/>
          <w:sz w:val="22"/>
          <w:szCs w:val="22"/>
          <w:lang w:val="de-DE"/>
        </w:rPr>
        <w:t xml:space="preserve"> auf </w:t>
      </w:r>
      <w:r w:rsidR="002D201F" w:rsidRPr="00294931">
        <w:rPr>
          <w:rFonts w:ascii="CorpoS" w:hAnsi="CorpoS"/>
          <w:sz w:val="22"/>
          <w:szCs w:val="22"/>
          <w:lang w:val="de-DE"/>
        </w:rPr>
        <w:t>das</w:t>
      </w:r>
      <w:r w:rsidR="00DA0A70" w:rsidRPr="00294931">
        <w:rPr>
          <w:rFonts w:ascii="CorpoS" w:hAnsi="CorpoS"/>
          <w:sz w:val="22"/>
          <w:szCs w:val="22"/>
          <w:lang w:val="de-DE"/>
        </w:rPr>
        <w:t xml:space="preserve"> V2500 und die Getriebefan-Triebwerke der PW1000G-Familie, insbesondere das PW1100G-JM. </w:t>
      </w:r>
      <w:r w:rsidR="00672400" w:rsidRPr="00294931">
        <w:rPr>
          <w:rFonts w:ascii="CorpoS" w:hAnsi="CorpoS"/>
          <w:sz w:val="22"/>
          <w:szCs w:val="22"/>
          <w:lang w:val="de-DE"/>
        </w:rPr>
        <w:t>„</w:t>
      </w:r>
      <w:r w:rsidR="00CA6358">
        <w:rPr>
          <w:rFonts w:ascii="CorpoS" w:hAnsi="CorpoS"/>
          <w:sz w:val="22"/>
          <w:szCs w:val="22"/>
          <w:lang w:val="de-DE"/>
        </w:rPr>
        <w:t xml:space="preserve">Die </w:t>
      </w:r>
      <w:r w:rsidR="00294931" w:rsidRPr="00294931">
        <w:rPr>
          <w:rFonts w:ascii="CorpoS" w:hAnsi="CorpoS"/>
          <w:sz w:val="22"/>
          <w:szCs w:val="22"/>
          <w:lang w:val="de-DE"/>
        </w:rPr>
        <w:t>anhaltend gut</w:t>
      </w:r>
      <w:r w:rsidR="00CA6358">
        <w:rPr>
          <w:rFonts w:ascii="CorpoS" w:hAnsi="CorpoS"/>
          <w:sz w:val="22"/>
          <w:szCs w:val="22"/>
          <w:lang w:val="de-DE"/>
        </w:rPr>
        <w:t>e</w:t>
      </w:r>
      <w:r w:rsidR="00A567DB" w:rsidRPr="00294931">
        <w:rPr>
          <w:rFonts w:ascii="CorpoS" w:hAnsi="CorpoS"/>
          <w:sz w:val="22"/>
          <w:szCs w:val="22"/>
          <w:lang w:val="de-DE"/>
        </w:rPr>
        <w:t xml:space="preserve"> Auftragslage lässt sich auch an unseren Erfolgen auf der Paris Air Show ablesen</w:t>
      </w:r>
      <w:r w:rsidR="00672400" w:rsidRPr="00294931">
        <w:rPr>
          <w:rFonts w:ascii="CorpoS" w:hAnsi="CorpoS"/>
          <w:sz w:val="22"/>
          <w:szCs w:val="22"/>
          <w:lang w:val="de-DE"/>
        </w:rPr>
        <w:t xml:space="preserve">“, ergänzte </w:t>
      </w:r>
      <w:r w:rsidR="00A567DB" w:rsidRPr="00294931">
        <w:rPr>
          <w:rFonts w:ascii="CorpoS" w:hAnsi="CorpoS"/>
          <w:sz w:val="22"/>
          <w:szCs w:val="22"/>
          <w:lang w:val="de-DE"/>
        </w:rPr>
        <w:t>Wagner</w:t>
      </w:r>
      <w:r w:rsidR="00672400" w:rsidRPr="00294931">
        <w:rPr>
          <w:rFonts w:ascii="CorpoS" w:hAnsi="CorpoS"/>
          <w:sz w:val="22"/>
          <w:szCs w:val="22"/>
          <w:lang w:val="de-DE"/>
        </w:rPr>
        <w:t>.</w:t>
      </w:r>
      <w:r w:rsidR="00A567DB" w:rsidRPr="00294931">
        <w:rPr>
          <w:rFonts w:ascii="CorpoS" w:hAnsi="CorpoS"/>
          <w:sz w:val="22"/>
          <w:szCs w:val="22"/>
          <w:lang w:val="de-DE"/>
        </w:rPr>
        <w:t xml:space="preserve"> Die MTU hatte auf der Luftfahrtmesse Mitte Juni Aufträge </w:t>
      </w:r>
      <w:r w:rsidR="00294931" w:rsidRPr="00294931">
        <w:rPr>
          <w:rFonts w:ascii="CorpoS" w:hAnsi="CorpoS"/>
          <w:sz w:val="22"/>
          <w:szCs w:val="22"/>
          <w:lang w:val="de-DE"/>
        </w:rPr>
        <w:t xml:space="preserve">in Höhe </w:t>
      </w:r>
      <w:r w:rsidR="00A567DB" w:rsidRPr="00294931">
        <w:rPr>
          <w:rFonts w:ascii="CorpoS" w:hAnsi="CorpoS"/>
          <w:sz w:val="22"/>
          <w:szCs w:val="22"/>
          <w:lang w:val="de-DE"/>
        </w:rPr>
        <w:t xml:space="preserve">von </w:t>
      </w:r>
      <w:r w:rsidR="00BF3D3B">
        <w:rPr>
          <w:rFonts w:ascii="CorpoS" w:hAnsi="CorpoS"/>
          <w:sz w:val="22"/>
          <w:szCs w:val="22"/>
          <w:lang w:val="de-DE"/>
        </w:rPr>
        <w:t>mehr als</w:t>
      </w:r>
      <w:r w:rsidR="00A567DB" w:rsidRPr="00294931">
        <w:rPr>
          <w:rFonts w:ascii="CorpoS" w:hAnsi="CorpoS"/>
          <w:sz w:val="22"/>
          <w:szCs w:val="22"/>
          <w:lang w:val="de-DE"/>
        </w:rPr>
        <w:t xml:space="preserve"> einer Milliarde US-Dollar erhalten.</w:t>
      </w:r>
      <w:r w:rsidR="00CA6358">
        <w:rPr>
          <w:rFonts w:ascii="CorpoS" w:hAnsi="CorpoS"/>
          <w:sz w:val="22"/>
          <w:szCs w:val="22"/>
          <w:lang w:val="de-DE"/>
        </w:rPr>
        <w:t xml:space="preserve"> Im Auftragsbestand sind die Messe-Aufträge noch nicht enthalten.</w:t>
      </w:r>
    </w:p>
    <w:p w:rsidR="0021479B" w:rsidRPr="00C45E2A" w:rsidRDefault="0021479B" w:rsidP="0021479B">
      <w:pPr>
        <w:tabs>
          <w:tab w:val="left" w:pos="7655"/>
          <w:tab w:val="left" w:pos="9072"/>
        </w:tabs>
        <w:spacing w:line="300" w:lineRule="exact"/>
        <w:ind w:right="283"/>
        <w:jc w:val="both"/>
        <w:rPr>
          <w:rFonts w:ascii="CorpoS" w:hAnsi="CorpoS"/>
          <w:sz w:val="22"/>
          <w:szCs w:val="22"/>
          <w:lang w:val="de-DE"/>
        </w:rPr>
      </w:pPr>
    </w:p>
    <w:p w:rsidR="00713E25" w:rsidRPr="00C45E2A" w:rsidRDefault="00713E25" w:rsidP="00397AA0">
      <w:pPr>
        <w:tabs>
          <w:tab w:val="left" w:pos="7655"/>
          <w:tab w:val="left" w:pos="9072"/>
        </w:tabs>
        <w:spacing w:line="300" w:lineRule="exact"/>
        <w:ind w:right="283"/>
        <w:jc w:val="both"/>
        <w:rPr>
          <w:rFonts w:ascii="CorpoS" w:hAnsi="CorpoS"/>
          <w:sz w:val="22"/>
          <w:szCs w:val="22"/>
          <w:lang w:val="de-DE"/>
        </w:rPr>
      </w:pPr>
      <w:r w:rsidRPr="00C45E2A">
        <w:rPr>
          <w:rFonts w:ascii="CorpoS" w:hAnsi="CorpoS"/>
          <w:sz w:val="22"/>
          <w:szCs w:val="22"/>
          <w:lang w:val="de-DE"/>
        </w:rPr>
        <w:t xml:space="preserve">Ihr Halbjahresergebnis hat die MTU in </w:t>
      </w:r>
      <w:r w:rsidR="00672400" w:rsidRPr="00C45E2A">
        <w:rPr>
          <w:rFonts w:ascii="CorpoS" w:hAnsi="CorpoS"/>
          <w:sz w:val="22"/>
          <w:szCs w:val="22"/>
          <w:lang w:val="de-DE"/>
        </w:rPr>
        <w:t>beiden</w:t>
      </w:r>
      <w:r w:rsidRPr="00C45E2A">
        <w:rPr>
          <w:rFonts w:ascii="CorpoS" w:hAnsi="CorpoS"/>
          <w:sz w:val="22"/>
          <w:szCs w:val="22"/>
          <w:lang w:val="de-DE"/>
        </w:rPr>
        <w:t xml:space="preserve"> Geschäftsbereichen verbessert.</w:t>
      </w:r>
    </w:p>
    <w:p w:rsidR="00C45E2A" w:rsidRPr="00C45E2A" w:rsidRDefault="00C45E2A" w:rsidP="00C45E2A">
      <w:pPr>
        <w:tabs>
          <w:tab w:val="left" w:pos="7655"/>
          <w:tab w:val="left" w:pos="9072"/>
        </w:tabs>
        <w:spacing w:line="300" w:lineRule="exact"/>
        <w:ind w:right="283"/>
        <w:jc w:val="both"/>
        <w:rPr>
          <w:rFonts w:ascii="CorpoS" w:hAnsi="CorpoS"/>
          <w:sz w:val="22"/>
          <w:szCs w:val="22"/>
          <w:lang w:val="de-DE"/>
        </w:rPr>
      </w:pPr>
    </w:p>
    <w:p w:rsidR="00C45E2A" w:rsidRPr="00C45E2A" w:rsidRDefault="00C45E2A" w:rsidP="00C45E2A">
      <w:pPr>
        <w:tabs>
          <w:tab w:val="left" w:pos="7655"/>
          <w:tab w:val="left" w:pos="9072"/>
        </w:tabs>
        <w:spacing w:line="300" w:lineRule="exact"/>
        <w:ind w:right="283"/>
        <w:jc w:val="both"/>
        <w:rPr>
          <w:rFonts w:ascii="CorpoS" w:hAnsi="CorpoS"/>
          <w:sz w:val="22"/>
          <w:szCs w:val="22"/>
          <w:lang w:val="de-DE"/>
        </w:rPr>
      </w:pPr>
      <w:r w:rsidRPr="00C45E2A">
        <w:rPr>
          <w:rFonts w:ascii="CorpoS" w:hAnsi="CorpoS"/>
          <w:sz w:val="22"/>
          <w:szCs w:val="22"/>
          <w:lang w:val="de-DE"/>
        </w:rPr>
        <w:t>Im OEM-Geschäft klette</w:t>
      </w:r>
      <w:r w:rsidR="00B311F9">
        <w:rPr>
          <w:rFonts w:ascii="CorpoS" w:hAnsi="CorpoS"/>
          <w:sz w:val="22"/>
          <w:szCs w:val="22"/>
          <w:lang w:val="de-DE"/>
        </w:rPr>
        <w:t>rte das bereinigte Ergebnis um 5</w:t>
      </w:r>
      <w:r w:rsidRPr="00C45E2A">
        <w:rPr>
          <w:rFonts w:ascii="CorpoS" w:hAnsi="CorpoS"/>
          <w:sz w:val="22"/>
          <w:szCs w:val="22"/>
          <w:lang w:val="de-DE"/>
        </w:rPr>
        <w:t>9 % von 165 Mio. auf 2</w:t>
      </w:r>
      <w:r w:rsidR="00B311F9">
        <w:rPr>
          <w:rFonts w:ascii="CorpoS" w:hAnsi="CorpoS"/>
          <w:sz w:val="22"/>
          <w:szCs w:val="22"/>
          <w:lang w:val="de-DE"/>
        </w:rPr>
        <w:t>62</w:t>
      </w:r>
      <w:r w:rsidRPr="00C45E2A">
        <w:rPr>
          <w:rFonts w:ascii="CorpoS" w:hAnsi="CorpoS"/>
          <w:sz w:val="22"/>
          <w:szCs w:val="22"/>
          <w:lang w:val="de-DE"/>
        </w:rPr>
        <w:t xml:space="preserve"> Mio. €. Die bereinigte EBIT-Marge stieg von 20,4 % im ersten Halbjahr 2022 auf 2</w:t>
      </w:r>
      <w:r w:rsidR="00B311F9">
        <w:rPr>
          <w:rFonts w:ascii="CorpoS" w:hAnsi="CorpoS"/>
          <w:sz w:val="22"/>
          <w:szCs w:val="22"/>
          <w:lang w:val="de-DE"/>
        </w:rPr>
        <w:t>4,7</w:t>
      </w:r>
      <w:r w:rsidRPr="00C45E2A">
        <w:rPr>
          <w:rFonts w:ascii="CorpoS" w:hAnsi="CorpoS"/>
          <w:sz w:val="22"/>
          <w:szCs w:val="22"/>
          <w:lang w:val="de-DE"/>
        </w:rPr>
        <w:t xml:space="preserve"> % im ersten Halbjahr 2023. </w:t>
      </w:r>
    </w:p>
    <w:p w:rsidR="00C45E2A" w:rsidRPr="00C45E2A" w:rsidRDefault="00C45E2A" w:rsidP="00397AA0">
      <w:pPr>
        <w:tabs>
          <w:tab w:val="left" w:pos="7655"/>
          <w:tab w:val="left" w:pos="9072"/>
        </w:tabs>
        <w:spacing w:line="300" w:lineRule="exact"/>
        <w:ind w:right="283"/>
        <w:jc w:val="both"/>
        <w:rPr>
          <w:rFonts w:ascii="CorpoS" w:hAnsi="CorpoS"/>
          <w:sz w:val="22"/>
          <w:szCs w:val="22"/>
          <w:lang w:val="de-DE"/>
        </w:rPr>
      </w:pPr>
    </w:p>
    <w:p w:rsidR="00C3291A" w:rsidRPr="00C45E2A" w:rsidRDefault="00C45E2A" w:rsidP="00397AA0">
      <w:pPr>
        <w:tabs>
          <w:tab w:val="left" w:pos="7655"/>
          <w:tab w:val="left" w:pos="9072"/>
        </w:tabs>
        <w:spacing w:line="300" w:lineRule="exact"/>
        <w:ind w:right="283"/>
        <w:jc w:val="both"/>
        <w:rPr>
          <w:rFonts w:ascii="CorpoS" w:hAnsi="CorpoS"/>
          <w:sz w:val="22"/>
          <w:szCs w:val="22"/>
          <w:lang w:val="de-DE"/>
        </w:rPr>
      </w:pPr>
      <w:r w:rsidRPr="00C45E2A">
        <w:rPr>
          <w:rFonts w:ascii="CorpoS" w:hAnsi="CorpoS"/>
          <w:sz w:val="22"/>
          <w:szCs w:val="22"/>
          <w:lang w:val="de-DE"/>
        </w:rPr>
        <w:t xml:space="preserve">Das bereinigte EBIT des MRO-Geschäfts hat um 14 % auf 141 Mio. € zugenommen (1-6/2022: </w:t>
      </w:r>
      <w:r w:rsidR="00237AEE">
        <w:rPr>
          <w:rFonts w:ascii="CorpoS" w:hAnsi="CorpoS"/>
          <w:sz w:val="22"/>
          <w:szCs w:val="22"/>
          <w:lang w:val="de-DE"/>
        </w:rPr>
        <w:br w:type="textWrapping" w:clear="all"/>
      </w:r>
      <w:r w:rsidRPr="00C45E2A">
        <w:rPr>
          <w:rFonts w:ascii="CorpoS" w:hAnsi="CorpoS"/>
          <w:sz w:val="22"/>
          <w:szCs w:val="22"/>
          <w:lang w:val="de-DE"/>
        </w:rPr>
        <w:t>124 Mio. €)</w:t>
      </w:r>
      <w:r w:rsidR="00713E25" w:rsidRPr="00C45E2A">
        <w:rPr>
          <w:rFonts w:ascii="CorpoS" w:hAnsi="CorpoS"/>
          <w:sz w:val="22"/>
          <w:szCs w:val="22"/>
          <w:lang w:val="de-DE"/>
        </w:rPr>
        <w:t xml:space="preserve">. </w:t>
      </w:r>
      <w:r w:rsidR="00672400" w:rsidRPr="00C45E2A">
        <w:rPr>
          <w:rFonts w:ascii="CorpoS" w:hAnsi="CorpoS"/>
          <w:sz w:val="22"/>
          <w:szCs w:val="22"/>
          <w:lang w:val="de-DE"/>
        </w:rPr>
        <w:t xml:space="preserve">Die bereinigte EBIT-Marge </w:t>
      </w:r>
      <w:r w:rsidRPr="00C45E2A">
        <w:rPr>
          <w:rFonts w:ascii="CorpoS" w:hAnsi="CorpoS"/>
          <w:sz w:val="22"/>
          <w:szCs w:val="22"/>
          <w:lang w:val="de-DE"/>
        </w:rPr>
        <w:t>lag bei 6,8 % nach</w:t>
      </w:r>
      <w:r w:rsidR="00672400" w:rsidRPr="00C45E2A">
        <w:rPr>
          <w:rFonts w:ascii="CorpoS" w:hAnsi="CorpoS"/>
          <w:sz w:val="22"/>
          <w:szCs w:val="22"/>
          <w:lang w:val="de-DE"/>
        </w:rPr>
        <w:t xml:space="preserve"> 7,3 %</w:t>
      </w:r>
      <w:r w:rsidRPr="00C45E2A">
        <w:rPr>
          <w:rFonts w:ascii="CorpoS" w:hAnsi="CorpoS"/>
          <w:sz w:val="22"/>
          <w:szCs w:val="22"/>
          <w:lang w:val="de-DE"/>
        </w:rPr>
        <w:t xml:space="preserve"> im ersten Halbjahr 2022</w:t>
      </w:r>
      <w:r w:rsidR="00A9570A" w:rsidRPr="00C45E2A">
        <w:rPr>
          <w:rFonts w:ascii="CorpoS" w:hAnsi="CorpoS"/>
          <w:sz w:val="22"/>
          <w:szCs w:val="22"/>
          <w:lang w:val="de-DE"/>
        </w:rPr>
        <w:t>.</w:t>
      </w:r>
    </w:p>
    <w:p w:rsidR="006B6206" w:rsidRPr="002D6E3F" w:rsidRDefault="006B6206" w:rsidP="00397AA0">
      <w:pPr>
        <w:tabs>
          <w:tab w:val="left" w:pos="7655"/>
          <w:tab w:val="left" w:pos="9072"/>
        </w:tabs>
        <w:spacing w:line="300" w:lineRule="exact"/>
        <w:ind w:right="283"/>
        <w:jc w:val="both"/>
        <w:rPr>
          <w:rFonts w:ascii="CorpoS" w:hAnsi="CorpoS"/>
          <w:sz w:val="22"/>
          <w:szCs w:val="22"/>
          <w:lang w:val="de-DE"/>
        </w:rPr>
      </w:pPr>
    </w:p>
    <w:p w:rsidR="006B6206" w:rsidRPr="002D6E3F" w:rsidRDefault="006B6206" w:rsidP="00397AA0">
      <w:pPr>
        <w:tabs>
          <w:tab w:val="left" w:pos="7655"/>
          <w:tab w:val="left" w:pos="9072"/>
        </w:tabs>
        <w:spacing w:line="300" w:lineRule="exact"/>
        <w:ind w:right="283"/>
        <w:jc w:val="both"/>
        <w:rPr>
          <w:rFonts w:ascii="CorpoS" w:hAnsi="CorpoS"/>
          <w:sz w:val="22"/>
          <w:szCs w:val="22"/>
          <w:lang w:val="de-DE"/>
        </w:rPr>
      </w:pPr>
      <w:r w:rsidRPr="002D6E3F">
        <w:rPr>
          <w:rFonts w:ascii="CorpoS" w:hAnsi="CorpoS"/>
          <w:sz w:val="22"/>
          <w:szCs w:val="22"/>
          <w:lang w:val="de-DE"/>
        </w:rPr>
        <w:t xml:space="preserve">Zu den </w:t>
      </w:r>
      <w:r w:rsidR="008D4E58" w:rsidRPr="002D6E3F">
        <w:rPr>
          <w:rFonts w:ascii="CorpoS" w:hAnsi="CorpoS"/>
          <w:sz w:val="22"/>
          <w:szCs w:val="22"/>
          <w:lang w:val="de-DE"/>
        </w:rPr>
        <w:t>Sondereinflüssen, die zu Ergebnisb</w:t>
      </w:r>
      <w:r w:rsidRPr="002D6E3F">
        <w:rPr>
          <w:rFonts w:ascii="CorpoS" w:hAnsi="CorpoS"/>
          <w:sz w:val="22"/>
          <w:szCs w:val="22"/>
          <w:lang w:val="de-DE"/>
        </w:rPr>
        <w:t>ereinigungen</w:t>
      </w:r>
      <w:r w:rsidR="008D4E58" w:rsidRPr="002D6E3F">
        <w:rPr>
          <w:rFonts w:ascii="CorpoS" w:hAnsi="CorpoS"/>
          <w:sz w:val="22"/>
          <w:szCs w:val="22"/>
          <w:lang w:val="de-DE"/>
        </w:rPr>
        <w:t xml:space="preserve"> geführt haben,</w:t>
      </w:r>
      <w:r w:rsidRPr="002D6E3F">
        <w:rPr>
          <w:rFonts w:ascii="CorpoS" w:hAnsi="CorpoS"/>
          <w:sz w:val="22"/>
          <w:szCs w:val="22"/>
          <w:lang w:val="de-DE"/>
        </w:rPr>
        <w:t xml:space="preserve"> erläuterte </w:t>
      </w:r>
      <w:proofErr w:type="spellStart"/>
      <w:r w:rsidRPr="002D6E3F">
        <w:rPr>
          <w:rFonts w:ascii="CorpoS" w:hAnsi="CorpoS"/>
          <w:sz w:val="22"/>
          <w:szCs w:val="22"/>
          <w:lang w:val="de-DE"/>
        </w:rPr>
        <w:t>Kameritsch</w:t>
      </w:r>
      <w:proofErr w:type="spellEnd"/>
      <w:r w:rsidRPr="002D6E3F">
        <w:rPr>
          <w:rFonts w:ascii="CorpoS" w:hAnsi="CorpoS"/>
          <w:sz w:val="22"/>
          <w:szCs w:val="22"/>
          <w:lang w:val="de-DE"/>
        </w:rPr>
        <w:t>: „</w:t>
      </w:r>
      <w:r w:rsidR="002B0120" w:rsidRPr="002D6E3F">
        <w:rPr>
          <w:rFonts w:ascii="CorpoS" w:hAnsi="CorpoS"/>
          <w:sz w:val="22"/>
          <w:szCs w:val="22"/>
          <w:lang w:val="de-DE"/>
        </w:rPr>
        <w:t xml:space="preserve">Aufgrund </w:t>
      </w:r>
      <w:r w:rsidR="00B61764">
        <w:rPr>
          <w:rFonts w:ascii="CorpoS" w:hAnsi="CorpoS"/>
          <w:sz w:val="22"/>
          <w:szCs w:val="22"/>
          <w:lang w:val="de-DE"/>
        </w:rPr>
        <w:t xml:space="preserve">von Kredit- und Prozessrisiken infolge </w:t>
      </w:r>
      <w:r w:rsidR="002B0120" w:rsidRPr="002D6E3F">
        <w:rPr>
          <w:rFonts w:ascii="CorpoS" w:hAnsi="CorpoS"/>
          <w:sz w:val="22"/>
          <w:szCs w:val="22"/>
          <w:lang w:val="de-DE"/>
        </w:rPr>
        <w:t xml:space="preserve">der Insolvenz </w:t>
      </w:r>
      <w:r w:rsidR="0099616E" w:rsidRPr="002D6E3F">
        <w:rPr>
          <w:rFonts w:ascii="CorpoS" w:hAnsi="CorpoS"/>
          <w:sz w:val="22"/>
          <w:szCs w:val="22"/>
          <w:lang w:val="de-DE"/>
        </w:rPr>
        <w:t>eines Kunden</w:t>
      </w:r>
      <w:r w:rsidR="002B0120" w:rsidRPr="002D6E3F">
        <w:rPr>
          <w:rFonts w:ascii="CorpoS" w:hAnsi="CorpoS"/>
          <w:sz w:val="22"/>
          <w:szCs w:val="22"/>
          <w:lang w:val="de-DE"/>
        </w:rPr>
        <w:t xml:space="preserve"> haben wir eine Wertberichtigung in Höhe von 22 Mio. € vorgenommen.“</w:t>
      </w:r>
    </w:p>
    <w:p w:rsidR="0021479B" w:rsidRPr="002D6E3F" w:rsidRDefault="0021479B" w:rsidP="0021479B">
      <w:pPr>
        <w:tabs>
          <w:tab w:val="left" w:pos="7655"/>
          <w:tab w:val="left" w:pos="7938"/>
        </w:tabs>
        <w:spacing w:line="300" w:lineRule="exact"/>
        <w:ind w:right="283"/>
        <w:jc w:val="both"/>
        <w:rPr>
          <w:rFonts w:ascii="CorpoS" w:hAnsi="CorpoS"/>
          <w:sz w:val="22"/>
          <w:szCs w:val="22"/>
          <w:lang w:val="de-DE"/>
        </w:rPr>
      </w:pPr>
    </w:p>
    <w:p w:rsidR="008F74A4" w:rsidRPr="00C73DDA" w:rsidRDefault="001F0951" w:rsidP="00A172E6">
      <w:pPr>
        <w:tabs>
          <w:tab w:val="left" w:pos="7655"/>
          <w:tab w:val="left" w:pos="7938"/>
        </w:tabs>
        <w:spacing w:line="300" w:lineRule="exact"/>
        <w:ind w:right="283"/>
        <w:jc w:val="both"/>
        <w:rPr>
          <w:rFonts w:ascii="CorpoS" w:hAnsi="CorpoS"/>
          <w:sz w:val="22"/>
          <w:szCs w:val="22"/>
          <w:lang w:val="de-DE"/>
        </w:rPr>
      </w:pPr>
      <w:r w:rsidRPr="001F0951">
        <w:rPr>
          <w:rFonts w:ascii="CorpoS" w:hAnsi="CorpoS"/>
          <w:sz w:val="22"/>
          <w:szCs w:val="22"/>
          <w:lang w:val="de-DE"/>
        </w:rPr>
        <w:t>Ihre Forschungs- und Entwicklungsausgaben hat die</w:t>
      </w:r>
      <w:r w:rsidR="00713E25" w:rsidRPr="001F0951">
        <w:rPr>
          <w:rFonts w:ascii="CorpoS" w:hAnsi="CorpoS"/>
          <w:sz w:val="22"/>
          <w:szCs w:val="22"/>
          <w:lang w:val="de-DE"/>
        </w:rPr>
        <w:t xml:space="preserve"> MTU im ersten Halbjahr </w:t>
      </w:r>
      <w:r w:rsidRPr="001F0951">
        <w:rPr>
          <w:rFonts w:ascii="CorpoS" w:hAnsi="CorpoS"/>
          <w:sz w:val="22"/>
          <w:szCs w:val="22"/>
          <w:lang w:val="de-DE"/>
        </w:rPr>
        <w:t xml:space="preserve">um 17 % auf </w:t>
      </w:r>
      <w:r w:rsidR="00237AEE">
        <w:rPr>
          <w:rFonts w:ascii="CorpoS" w:hAnsi="CorpoS"/>
          <w:sz w:val="22"/>
          <w:szCs w:val="22"/>
          <w:lang w:val="de-DE"/>
        </w:rPr>
        <w:br w:type="textWrapping" w:clear="all"/>
      </w:r>
      <w:r w:rsidRPr="001F0951">
        <w:rPr>
          <w:rFonts w:ascii="CorpoS" w:hAnsi="CorpoS"/>
          <w:sz w:val="22"/>
          <w:szCs w:val="22"/>
          <w:lang w:val="de-DE"/>
        </w:rPr>
        <w:t xml:space="preserve">158 Mio. </w:t>
      </w:r>
      <w:r w:rsidRPr="00C73DDA">
        <w:rPr>
          <w:rFonts w:ascii="CorpoS" w:hAnsi="CorpoS"/>
          <w:sz w:val="22"/>
          <w:szCs w:val="22"/>
          <w:lang w:val="de-DE"/>
        </w:rPr>
        <w:t xml:space="preserve">€ gesteigert (1-6/2022: </w:t>
      </w:r>
      <w:r w:rsidR="00713E25" w:rsidRPr="00C73DDA">
        <w:rPr>
          <w:rFonts w:ascii="CorpoS" w:hAnsi="CorpoS"/>
          <w:sz w:val="22"/>
          <w:szCs w:val="22"/>
          <w:lang w:val="de-DE"/>
        </w:rPr>
        <w:t>135 Mio. €</w:t>
      </w:r>
      <w:r w:rsidRPr="00C73DDA">
        <w:rPr>
          <w:rFonts w:ascii="CorpoS" w:hAnsi="CorpoS"/>
          <w:sz w:val="22"/>
          <w:szCs w:val="22"/>
          <w:lang w:val="de-DE"/>
        </w:rPr>
        <w:t>)</w:t>
      </w:r>
      <w:r w:rsidR="00713E25" w:rsidRPr="00C73DDA">
        <w:rPr>
          <w:rFonts w:ascii="CorpoS" w:hAnsi="CorpoS"/>
          <w:sz w:val="22"/>
          <w:szCs w:val="22"/>
          <w:lang w:val="de-DE"/>
        </w:rPr>
        <w:t xml:space="preserve">. </w:t>
      </w:r>
      <w:r w:rsidR="00C73DDA" w:rsidRPr="00C73DDA">
        <w:rPr>
          <w:rFonts w:ascii="CorpoS" w:hAnsi="CorpoS"/>
          <w:sz w:val="22"/>
          <w:szCs w:val="22"/>
          <w:lang w:val="de-DE"/>
        </w:rPr>
        <w:t xml:space="preserve">„In Forschung und Entwicklung beschäftigen wir uns intensiv mit Technologien für eine nachhaltige, emissionsfreie Luftfahrt“, sagte Wagner. „Zum Ausbau unseres Know-how im Bereich der Elektrifizierung des Antriebsstrangs haben wir im April den Elektromotorenentwickler </w:t>
      </w:r>
      <w:proofErr w:type="spellStart"/>
      <w:r w:rsidR="00C73DDA" w:rsidRPr="00C73DDA">
        <w:rPr>
          <w:rFonts w:ascii="CorpoS" w:hAnsi="CorpoS"/>
          <w:sz w:val="22"/>
          <w:szCs w:val="22"/>
          <w:lang w:val="de-DE"/>
        </w:rPr>
        <w:t>eMoSys</w:t>
      </w:r>
      <w:proofErr w:type="spellEnd"/>
      <w:r w:rsidR="00C73DDA" w:rsidRPr="00C73DDA">
        <w:rPr>
          <w:rFonts w:ascii="CorpoS" w:hAnsi="CorpoS"/>
          <w:sz w:val="22"/>
          <w:szCs w:val="22"/>
          <w:lang w:val="de-DE"/>
        </w:rPr>
        <w:t xml:space="preserve"> übernommen.“</w:t>
      </w:r>
    </w:p>
    <w:p w:rsidR="00713E25" w:rsidRPr="00C73DDA" w:rsidRDefault="00713E25" w:rsidP="00A172E6">
      <w:pPr>
        <w:tabs>
          <w:tab w:val="left" w:pos="7655"/>
          <w:tab w:val="left" w:pos="7938"/>
        </w:tabs>
        <w:spacing w:line="300" w:lineRule="exact"/>
        <w:ind w:right="283"/>
        <w:jc w:val="both"/>
        <w:rPr>
          <w:rFonts w:ascii="CorpoS" w:hAnsi="CorpoS"/>
          <w:sz w:val="22"/>
          <w:szCs w:val="22"/>
          <w:lang w:val="de-DE"/>
        </w:rPr>
      </w:pPr>
    </w:p>
    <w:p w:rsidR="0021479B" w:rsidRPr="00E70654" w:rsidRDefault="0071068B" w:rsidP="0021479B">
      <w:pPr>
        <w:tabs>
          <w:tab w:val="left" w:pos="7655"/>
          <w:tab w:val="left" w:pos="9072"/>
        </w:tabs>
        <w:spacing w:line="300" w:lineRule="exact"/>
        <w:ind w:right="283"/>
        <w:jc w:val="both"/>
        <w:rPr>
          <w:rFonts w:ascii="CorpoS" w:hAnsi="CorpoS"/>
          <w:sz w:val="22"/>
          <w:szCs w:val="22"/>
          <w:lang w:val="de-DE"/>
        </w:rPr>
      </w:pPr>
      <w:r w:rsidRPr="00E70654">
        <w:rPr>
          <w:rFonts w:ascii="CorpoS" w:hAnsi="CorpoS"/>
          <w:sz w:val="22"/>
          <w:szCs w:val="22"/>
          <w:lang w:val="de-DE"/>
        </w:rPr>
        <w:t xml:space="preserve">Der Free Cashflow </w:t>
      </w:r>
      <w:r w:rsidR="009F6B7A" w:rsidRPr="00E70654">
        <w:rPr>
          <w:rFonts w:ascii="CorpoS" w:hAnsi="CorpoS"/>
          <w:sz w:val="22"/>
          <w:szCs w:val="22"/>
          <w:lang w:val="de-DE"/>
        </w:rPr>
        <w:t xml:space="preserve">lag im ersten Halbjahr bei </w:t>
      </w:r>
      <w:r w:rsidR="001F0951" w:rsidRPr="00E70654">
        <w:rPr>
          <w:rFonts w:ascii="CorpoS" w:hAnsi="CorpoS"/>
          <w:sz w:val="22"/>
          <w:szCs w:val="22"/>
          <w:lang w:val="de-DE"/>
        </w:rPr>
        <w:t>135</w:t>
      </w:r>
      <w:r w:rsidR="009F6B7A" w:rsidRPr="00E70654">
        <w:rPr>
          <w:rFonts w:ascii="CorpoS" w:hAnsi="CorpoS"/>
          <w:sz w:val="22"/>
          <w:szCs w:val="22"/>
          <w:lang w:val="de-DE"/>
        </w:rPr>
        <w:t xml:space="preserve"> Mio. € nach </w:t>
      </w:r>
      <w:r w:rsidR="001F0951" w:rsidRPr="00E70654">
        <w:rPr>
          <w:rFonts w:ascii="CorpoS" w:hAnsi="CorpoS"/>
          <w:sz w:val="22"/>
          <w:szCs w:val="22"/>
          <w:lang w:val="de-DE"/>
        </w:rPr>
        <w:t>168</w:t>
      </w:r>
      <w:r w:rsidR="009F6B7A" w:rsidRPr="00E70654">
        <w:rPr>
          <w:rFonts w:ascii="CorpoS" w:hAnsi="CorpoS"/>
          <w:sz w:val="22"/>
          <w:szCs w:val="22"/>
          <w:lang w:val="de-DE"/>
        </w:rPr>
        <w:t xml:space="preserve"> Mio. € im gleichen Vorjahreszeitraum. </w:t>
      </w:r>
      <w:r w:rsidR="00A009F2" w:rsidRPr="00C80865">
        <w:rPr>
          <w:rFonts w:ascii="CorpoS" w:hAnsi="CorpoS"/>
          <w:sz w:val="22"/>
          <w:szCs w:val="22"/>
          <w:lang w:val="de-DE"/>
        </w:rPr>
        <w:t>„</w:t>
      </w:r>
      <w:r w:rsidR="002630F3">
        <w:rPr>
          <w:rFonts w:ascii="CorpoS" w:hAnsi="CorpoS"/>
          <w:sz w:val="22"/>
          <w:szCs w:val="22"/>
          <w:lang w:val="de-DE"/>
        </w:rPr>
        <w:t>Während des Getriebefan-Inspektionsprogramms werden wir Gegenwind für unseren Free Cashflow spüren</w:t>
      </w:r>
      <w:bookmarkStart w:id="0" w:name="_GoBack"/>
      <w:bookmarkEnd w:id="0"/>
      <w:r w:rsidR="00A009F2" w:rsidRPr="00C80865">
        <w:rPr>
          <w:rFonts w:ascii="CorpoS" w:hAnsi="CorpoS"/>
          <w:sz w:val="22"/>
          <w:szCs w:val="22"/>
          <w:lang w:val="de-DE"/>
        </w:rPr>
        <w:t xml:space="preserve">“, sagte </w:t>
      </w:r>
      <w:proofErr w:type="spellStart"/>
      <w:r w:rsidR="00A009F2" w:rsidRPr="00C80865">
        <w:rPr>
          <w:rFonts w:ascii="CorpoS" w:hAnsi="CorpoS"/>
          <w:sz w:val="22"/>
          <w:szCs w:val="22"/>
          <w:lang w:val="de-DE"/>
        </w:rPr>
        <w:t>Kameritsch</w:t>
      </w:r>
      <w:proofErr w:type="spellEnd"/>
      <w:r w:rsidR="00A009F2" w:rsidRPr="00C80865">
        <w:rPr>
          <w:rFonts w:ascii="CorpoS" w:hAnsi="CorpoS"/>
          <w:sz w:val="22"/>
          <w:szCs w:val="22"/>
          <w:lang w:val="de-DE"/>
        </w:rPr>
        <w:t>. „</w:t>
      </w:r>
      <w:r w:rsidR="00DB221F" w:rsidRPr="00C80865">
        <w:rPr>
          <w:rFonts w:ascii="CorpoS" w:hAnsi="CorpoS"/>
          <w:sz w:val="22"/>
          <w:szCs w:val="22"/>
          <w:lang w:val="de-DE"/>
        </w:rPr>
        <w:t>Wir werden unser stringentes</w:t>
      </w:r>
      <w:r w:rsidR="00A009F2" w:rsidRPr="00C80865">
        <w:rPr>
          <w:rFonts w:ascii="CorpoS" w:hAnsi="CorpoS"/>
          <w:sz w:val="22"/>
          <w:szCs w:val="22"/>
          <w:lang w:val="de-DE"/>
        </w:rPr>
        <w:t xml:space="preserve"> Cash-Management </w:t>
      </w:r>
      <w:r w:rsidR="00903367" w:rsidRPr="00C80865">
        <w:rPr>
          <w:rFonts w:ascii="CorpoS" w:hAnsi="CorpoS"/>
          <w:sz w:val="22"/>
          <w:szCs w:val="22"/>
          <w:lang w:val="de-DE"/>
        </w:rPr>
        <w:t xml:space="preserve">konsequent </w:t>
      </w:r>
      <w:r w:rsidR="00A009F2" w:rsidRPr="00C80865">
        <w:rPr>
          <w:rFonts w:ascii="CorpoS" w:hAnsi="CorpoS"/>
          <w:sz w:val="22"/>
          <w:szCs w:val="22"/>
          <w:lang w:val="de-DE"/>
        </w:rPr>
        <w:t xml:space="preserve">weiter </w:t>
      </w:r>
      <w:r w:rsidR="002630F3">
        <w:rPr>
          <w:rFonts w:ascii="CorpoS" w:hAnsi="CorpoS"/>
          <w:sz w:val="22"/>
          <w:szCs w:val="22"/>
          <w:lang w:val="de-DE"/>
        </w:rPr>
        <w:t>ausbauen</w:t>
      </w:r>
      <w:r w:rsidR="00A009F2" w:rsidRPr="00C80865">
        <w:rPr>
          <w:rFonts w:ascii="CorpoS" w:hAnsi="CorpoS"/>
          <w:sz w:val="22"/>
          <w:szCs w:val="22"/>
          <w:lang w:val="de-DE"/>
        </w:rPr>
        <w:t>, um die Auswirkungen bestmöglich zu begrenzen.“</w:t>
      </w:r>
    </w:p>
    <w:p w:rsidR="003B1233" w:rsidRPr="00E70654" w:rsidRDefault="003B1233" w:rsidP="0021479B">
      <w:pPr>
        <w:tabs>
          <w:tab w:val="left" w:pos="7655"/>
          <w:tab w:val="left" w:pos="9072"/>
        </w:tabs>
        <w:spacing w:line="300" w:lineRule="exact"/>
        <w:ind w:right="283"/>
        <w:jc w:val="both"/>
        <w:rPr>
          <w:rFonts w:ascii="CorpoS" w:hAnsi="CorpoS"/>
          <w:sz w:val="22"/>
          <w:szCs w:val="22"/>
          <w:lang w:val="de-DE"/>
        </w:rPr>
      </w:pPr>
    </w:p>
    <w:p w:rsidR="00975B94" w:rsidRPr="001F0951" w:rsidRDefault="00164719" w:rsidP="0021479B">
      <w:pPr>
        <w:tabs>
          <w:tab w:val="left" w:pos="7655"/>
          <w:tab w:val="left" w:pos="9072"/>
        </w:tabs>
        <w:spacing w:line="300" w:lineRule="exact"/>
        <w:ind w:right="283"/>
        <w:jc w:val="both"/>
        <w:rPr>
          <w:rFonts w:ascii="CorpoS" w:hAnsi="CorpoS"/>
          <w:sz w:val="22"/>
          <w:szCs w:val="22"/>
          <w:lang w:val="de-DE"/>
        </w:rPr>
      </w:pPr>
      <w:r w:rsidRPr="001F0951">
        <w:rPr>
          <w:rFonts w:ascii="CorpoS" w:hAnsi="CorpoS"/>
          <w:sz w:val="22"/>
          <w:szCs w:val="22"/>
          <w:lang w:val="de-DE"/>
        </w:rPr>
        <w:t xml:space="preserve">Die </w:t>
      </w:r>
      <w:r w:rsidR="002F493F" w:rsidRPr="001F0951">
        <w:rPr>
          <w:rFonts w:ascii="CorpoS" w:hAnsi="CorpoS"/>
          <w:sz w:val="22"/>
          <w:szCs w:val="22"/>
          <w:lang w:val="de-DE"/>
        </w:rPr>
        <w:t>Netto-Auszahlungen</w:t>
      </w:r>
      <w:r w:rsidR="009A1CBE" w:rsidRPr="001F0951">
        <w:rPr>
          <w:rFonts w:ascii="CorpoS" w:hAnsi="CorpoS"/>
          <w:sz w:val="22"/>
          <w:szCs w:val="22"/>
          <w:lang w:val="de-DE"/>
        </w:rPr>
        <w:t xml:space="preserve"> in Sachanlagen </w:t>
      </w:r>
      <w:r w:rsidR="00345288" w:rsidRPr="001F0951">
        <w:rPr>
          <w:rFonts w:ascii="CorpoS" w:hAnsi="CorpoS"/>
          <w:sz w:val="22"/>
          <w:szCs w:val="22"/>
          <w:lang w:val="de-DE"/>
        </w:rPr>
        <w:t xml:space="preserve">sind </w:t>
      </w:r>
      <w:r w:rsidR="001F0951" w:rsidRPr="001F0951">
        <w:rPr>
          <w:rFonts w:ascii="CorpoS" w:hAnsi="CorpoS"/>
          <w:sz w:val="22"/>
          <w:szCs w:val="22"/>
          <w:lang w:val="de-DE"/>
        </w:rPr>
        <w:t>in den ersten sechs Monaten des Jahres</w:t>
      </w:r>
      <w:r w:rsidR="00345288" w:rsidRPr="001F0951">
        <w:rPr>
          <w:rFonts w:ascii="CorpoS" w:hAnsi="CorpoS"/>
          <w:sz w:val="22"/>
          <w:szCs w:val="22"/>
          <w:lang w:val="de-DE"/>
        </w:rPr>
        <w:t xml:space="preserve"> um </w:t>
      </w:r>
      <w:r w:rsidR="001F0951" w:rsidRPr="001F0951">
        <w:rPr>
          <w:rFonts w:ascii="CorpoS" w:hAnsi="CorpoS"/>
          <w:sz w:val="22"/>
          <w:szCs w:val="22"/>
          <w:lang w:val="de-DE"/>
        </w:rPr>
        <w:t>23</w:t>
      </w:r>
      <w:r w:rsidR="00345288" w:rsidRPr="001F0951">
        <w:rPr>
          <w:rFonts w:ascii="CorpoS" w:hAnsi="CorpoS"/>
          <w:sz w:val="22"/>
          <w:szCs w:val="22"/>
          <w:lang w:val="de-DE"/>
        </w:rPr>
        <w:t xml:space="preserve"> % </w:t>
      </w:r>
      <w:r w:rsidR="001F0951" w:rsidRPr="001F0951">
        <w:rPr>
          <w:rFonts w:ascii="CorpoS" w:hAnsi="CorpoS"/>
          <w:sz w:val="22"/>
          <w:szCs w:val="22"/>
          <w:lang w:val="de-DE"/>
        </w:rPr>
        <w:t xml:space="preserve">auf </w:t>
      </w:r>
      <w:r w:rsidR="00237AEE">
        <w:rPr>
          <w:rFonts w:ascii="CorpoS" w:hAnsi="CorpoS"/>
          <w:sz w:val="22"/>
          <w:szCs w:val="22"/>
          <w:lang w:val="de-DE"/>
        </w:rPr>
        <w:br w:type="textWrapping" w:clear="all"/>
      </w:r>
      <w:r w:rsidR="001F0951" w:rsidRPr="001F0951">
        <w:rPr>
          <w:rFonts w:ascii="CorpoS" w:hAnsi="CorpoS"/>
          <w:sz w:val="22"/>
          <w:szCs w:val="22"/>
          <w:lang w:val="de-DE"/>
        </w:rPr>
        <w:t xml:space="preserve">112 Mio. € gestiegen (1-6/2022: </w:t>
      </w:r>
      <w:r w:rsidR="00345288" w:rsidRPr="001F0951">
        <w:rPr>
          <w:rFonts w:ascii="CorpoS" w:hAnsi="CorpoS"/>
          <w:sz w:val="22"/>
          <w:szCs w:val="22"/>
          <w:lang w:val="de-DE"/>
        </w:rPr>
        <w:t>91 Mio. €</w:t>
      </w:r>
      <w:r w:rsidR="001F0951" w:rsidRPr="001F0951">
        <w:rPr>
          <w:rFonts w:ascii="CorpoS" w:hAnsi="CorpoS"/>
          <w:sz w:val="22"/>
          <w:szCs w:val="22"/>
          <w:lang w:val="de-DE"/>
        </w:rPr>
        <w:t>)</w:t>
      </w:r>
      <w:r w:rsidR="00345288" w:rsidRPr="001F0951">
        <w:rPr>
          <w:rFonts w:ascii="CorpoS" w:hAnsi="CorpoS"/>
          <w:sz w:val="22"/>
          <w:szCs w:val="22"/>
          <w:lang w:val="de-DE"/>
        </w:rPr>
        <w:t>.</w:t>
      </w:r>
    </w:p>
    <w:p w:rsidR="009D3FD2" w:rsidRPr="001F0951" w:rsidRDefault="00345288" w:rsidP="0021479B">
      <w:pPr>
        <w:tabs>
          <w:tab w:val="left" w:pos="7655"/>
          <w:tab w:val="left" w:pos="9072"/>
        </w:tabs>
        <w:spacing w:line="300" w:lineRule="exact"/>
        <w:ind w:right="283"/>
        <w:jc w:val="both"/>
        <w:rPr>
          <w:rFonts w:ascii="CorpoS" w:eastAsia="SimSun" w:hAnsi="CorpoS"/>
          <w:sz w:val="22"/>
          <w:szCs w:val="22"/>
          <w:lang w:val="de-DE" w:eastAsia="zh-CN"/>
        </w:rPr>
      </w:pPr>
      <w:r w:rsidRPr="001F0951">
        <w:rPr>
          <w:rFonts w:ascii="CorpoS" w:eastAsia="SimSun" w:hAnsi="CorpoS"/>
          <w:sz w:val="22"/>
          <w:szCs w:val="22"/>
          <w:lang w:val="de-DE" w:eastAsia="zh-CN"/>
        </w:rPr>
        <w:lastRenderedPageBreak/>
        <w:t xml:space="preserve">Die MTU </w:t>
      </w:r>
      <w:r w:rsidR="00EC560C" w:rsidRPr="001F0951">
        <w:rPr>
          <w:rFonts w:ascii="CorpoS" w:eastAsia="SimSun" w:hAnsi="CorpoS"/>
          <w:sz w:val="22"/>
          <w:szCs w:val="22"/>
          <w:lang w:val="de-DE" w:eastAsia="zh-CN"/>
        </w:rPr>
        <w:t xml:space="preserve">hat ihre Belegschaft im ersten Halbjahr um </w:t>
      </w:r>
      <w:r w:rsidR="001F0951" w:rsidRPr="001F0951">
        <w:rPr>
          <w:rFonts w:ascii="CorpoS" w:eastAsia="SimSun" w:hAnsi="CorpoS"/>
          <w:sz w:val="22"/>
          <w:szCs w:val="22"/>
          <w:lang w:val="de-DE" w:eastAsia="zh-CN"/>
        </w:rPr>
        <w:t>5</w:t>
      </w:r>
      <w:r w:rsidR="00EC560C" w:rsidRPr="001F0951">
        <w:rPr>
          <w:rFonts w:ascii="CorpoS" w:eastAsia="SimSun" w:hAnsi="CorpoS"/>
          <w:sz w:val="22"/>
          <w:szCs w:val="22"/>
          <w:lang w:val="de-DE" w:eastAsia="zh-CN"/>
        </w:rPr>
        <w:t xml:space="preserve"> % auf </w:t>
      </w:r>
      <w:r w:rsidR="001F0951" w:rsidRPr="001F0951">
        <w:rPr>
          <w:rFonts w:ascii="CorpoS" w:eastAsia="SimSun" w:hAnsi="CorpoS"/>
          <w:sz w:val="22"/>
          <w:szCs w:val="22"/>
          <w:lang w:val="de-DE" w:eastAsia="zh-CN"/>
        </w:rPr>
        <w:t>11</w:t>
      </w:r>
      <w:r w:rsidRPr="001F0951">
        <w:rPr>
          <w:rFonts w:ascii="CorpoS" w:eastAsia="SimSun" w:hAnsi="CorpoS"/>
          <w:sz w:val="22"/>
          <w:szCs w:val="22"/>
          <w:lang w:val="de-DE" w:eastAsia="zh-CN"/>
        </w:rPr>
        <w:t>.</w:t>
      </w:r>
      <w:r w:rsidR="001F0951" w:rsidRPr="001F0951">
        <w:rPr>
          <w:rFonts w:ascii="CorpoS" w:eastAsia="SimSun" w:hAnsi="CorpoS"/>
          <w:sz w:val="22"/>
          <w:szCs w:val="22"/>
          <w:lang w:val="de-DE" w:eastAsia="zh-CN"/>
        </w:rPr>
        <w:t>823</w:t>
      </w:r>
      <w:r w:rsidRPr="001F0951">
        <w:rPr>
          <w:rFonts w:ascii="CorpoS" w:eastAsia="SimSun" w:hAnsi="CorpoS"/>
          <w:sz w:val="22"/>
          <w:szCs w:val="22"/>
          <w:lang w:val="de-DE" w:eastAsia="zh-CN"/>
        </w:rPr>
        <w:t xml:space="preserve"> </w:t>
      </w:r>
      <w:proofErr w:type="spellStart"/>
      <w:r w:rsidRPr="001F0951">
        <w:rPr>
          <w:rFonts w:ascii="CorpoS" w:eastAsia="SimSun" w:hAnsi="CorpoS"/>
          <w:sz w:val="22"/>
          <w:szCs w:val="22"/>
          <w:lang w:val="de-DE" w:eastAsia="zh-CN"/>
        </w:rPr>
        <w:t>Mitarbeiter:innen</w:t>
      </w:r>
      <w:proofErr w:type="spellEnd"/>
      <w:r w:rsidR="00EC560C" w:rsidRPr="001F0951">
        <w:rPr>
          <w:rFonts w:ascii="CorpoS" w:eastAsia="SimSun" w:hAnsi="CorpoS"/>
          <w:sz w:val="22"/>
          <w:szCs w:val="22"/>
          <w:lang w:val="de-DE" w:eastAsia="zh-CN"/>
        </w:rPr>
        <w:t xml:space="preserve"> vergrößert </w:t>
      </w:r>
      <w:r w:rsidR="00237AEE">
        <w:rPr>
          <w:rFonts w:ascii="CorpoS" w:eastAsia="SimSun" w:hAnsi="CorpoS"/>
          <w:sz w:val="22"/>
          <w:szCs w:val="22"/>
          <w:lang w:val="de-DE" w:eastAsia="zh-CN"/>
        </w:rPr>
        <w:br w:type="textWrapping" w:clear="all"/>
      </w:r>
      <w:r w:rsidRPr="001F0951">
        <w:rPr>
          <w:rFonts w:ascii="CorpoS" w:eastAsia="SimSun" w:hAnsi="CorpoS"/>
          <w:sz w:val="22"/>
          <w:szCs w:val="22"/>
          <w:lang w:val="de-DE" w:eastAsia="zh-CN"/>
        </w:rPr>
        <w:t>(31. Dezember 202</w:t>
      </w:r>
      <w:r w:rsidR="00EC560C" w:rsidRPr="001F0951">
        <w:rPr>
          <w:rFonts w:ascii="CorpoS" w:eastAsia="SimSun" w:hAnsi="CorpoS"/>
          <w:sz w:val="22"/>
          <w:szCs w:val="22"/>
          <w:lang w:val="de-DE" w:eastAsia="zh-CN"/>
        </w:rPr>
        <w:t>2: 11</w:t>
      </w:r>
      <w:r w:rsidRPr="001F0951">
        <w:rPr>
          <w:rFonts w:ascii="CorpoS" w:eastAsia="SimSun" w:hAnsi="CorpoS"/>
          <w:sz w:val="22"/>
          <w:szCs w:val="22"/>
          <w:lang w:val="de-DE" w:eastAsia="zh-CN"/>
        </w:rPr>
        <w:t>.</w:t>
      </w:r>
      <w:r w:rsidR="00EC560C" w:rsidRPr="001F0951">
        <w:rPr>
          <w:rFonts w:ascii="CorpoS" w:eastAsia="SimSun" w:hAnsi="CorpoS"/>
          <w:sz w:val="22"/>
          <w:szCs w:val="22"/>
          <w:lang w:val="de-DE" w:eastAsia="zh-CN"/>
        </w:rPr>
        <w:t>273</w:t>
      </w:r>
      <w:r w:rsidRPr="001F0951">
        <w:rPr>
          <w:rFonts w:ascii="CorpoS" w:eastAsia="SimSun" w:hAnsi="CorpoS"/>
          <w:sz w:val="22"/>
          <w:szCs w:val="22"/>
          <w:lang w:val="de-DE" w:eastAsia="zh-CN"/>
        </w:rPr>
        <w:t xml:space="preserve"> </w:t>
      </w:r>
      <w:proofErr w:type="spellStart"/>
      <w:r w:rsidRPr="001F0951">
        <w:rPr>
          <w:rFonts w:ascii="CorpoS" w:eastAsia="SimSun" w:hAnsi="CorpoS"/>
          <w:sz w:val="22"/>
          <w:szCs w:val="22"/>
          <w:lang w:val="de-DE" w:eastAsia="zh-CN"/>
        </w:rPr>
        <w:t>Mitarbeiter:innen</w:t>
      </w:r>
      <w:proofErr w:type="spellEnd"/>
      <w:r w:rsidRPr="001F0951">
        <w:rPr>
          <w:rFonts w:ascii="CorpoS" w:eastAsia="SimSun" w:hAnsi="CorpoS"/>
          <w:sz w:val="22"/>
          <w:szCs w:val="22"/>
          <w:lang w:val="de-DE" w:eastAsia="zh-CN"/>
        </w:rPr>
        <w:t>).</w:t>
      </w:r>
    </w:p>
    <w:p w:rsidR="00555B50" w:rsidRPr="001F0951" w:rsidRDefault="00555B50" w:rsidP="0021479B">
      <w:pPr>
        <w:tabs>
          <w:tab w:val="left" w:pos="7655"/>
          <w:tab w:val="left" w:pos="9072"/>
        </w:tabs>
        <w:spacing w:line="300" w:lineRule="exact"/>
        <w:ind w:right="283"/>
        <w:jc w:val="both"/>
        <w:rPr>
          <w:rFonts w:ascii="CorpoS" w:eastAsia="SimSun" w:hAnsi="CorpoS"/>
          <w:sz w:val="22"/>
          <w:szCs w:val="22"/>
          <w:lang w:val="de-DE" w:eastAsia="zh-CN"/>
        </w:rPr>
      </w:pPr>
    </w:p>
    <w:p w:rsidR="00555B50" w:rsidRPr="00AB3C00" w:rsidRDefault="00805D71" w:rsidP="0021479B">
      <w:pPr>
        <w:tabs>
          <w:tab w:val="left" w:pos="7655"/>
          <w:tab w:val="left" w:pos="9072"/>
        </w:tabs>
        <w:spacing w:line="300" w:lineRule="exact"/>
        <w:ind w:right="283"/>
        <w:jc w:val="both"/>
        <w:rPr>
          <w:rFonts w:ascii="CorpoS" w:hAnsi="CorpoS"/>
          <w:sz w:val="22"/>
          <w:szCs w:val="22"/>
          <w:lang w:val="de-DE"/>
        </w:rPr>
      </w:pPr>
      <w:r w:rsidRPr="00AB3C00">
        <w:rPr>
          <w:rFonts w:ascii="CorpoS" w:hAnsi="CorpoS"/>
          <w:sz w:val="22"/>
          <w:szCs w:val="22"/>
          <w:lang w:val="de-DE"/>
        </w:rPr>
        <w:t>Die MTU bestätigt ihre</w:t>
      </w:r>
      <w:r w:rsidR="003A11EA" w:rsidRPr="00AB3C00">
        <w:rPr>
          <w:rFonts w:ascii="CorpoS" w:hAnsi="CorpoS"/>
          <w:sz w:val="22"/>
          <w:szCs w:val="22"/>
          <w:lang w:val="de-DE"/>
        </w:rPr>
        <w:t xml:space="preserve"> Prognose für das Geschäftsjahr 202</w:t>
      </w:r>
      <w:r w:rsidRPr="00AB3C00">
        <w:rPr>
          <w:rFonts w:ascii="CorpoS" w:hAnsi="CorpoS"/>
          <w:sz w:val="22"/>
          <w:szCs w:val="22"/>
          <w:lang w:val="de-DE"/>
        </w:rPr>
        <w:t>3</w:t>
      </w:r>
      <w:r w:rsidR="00792ED9" w:rsidRPr="00AB3C00">
        <w:rPr>
          <w:rFonts w:ascii="CorpoS" w:hAnsi="CorpoS"/>
          <w:sz w:val="22"/>
          <w:szCs w:val="22"/>
          <w:lang w:val="de-DE"/>
        </w:rPr>
        <w:t>:</w:t>
      </w:r>
      <w:r w:rsidR="00555B50" w:rsidRPr="00AB3C00">
        <w:rPr>
          <w:rFonts w:ascii="CorpoS" w:hAnsi="CorpoS"/>
          <w:sz w:val="22"/>
          <w:szCs w:val="22"/>
          <w:lang w:val="de-DE"/>
        </w:rPr>
        <w:t xml:space="preserve"> </w:t>
      </w:r>
      <w:r w:rsidRPr="00AB3C00">
        <w:rPr>
          <w:rFonts w:ascii="CorpoS" w:hAnsi="CorpoS"/>
          <w:sz w:val="22"/>
          <w:szCs w:val="22"/>
          <w:lang w:val="de-DE"/>
        </w:rPr>
        <w:t xml:space="preserve">Das Umsatzziel liegt bei 6,1 bis </w:t>
      </w:r>
      <w:r w:rsidR="00237AEE">
        <w:rPr>
          <w:rFonts w:ascii="CorpoS" w:hAnsi="CorpoS"/>
          <w:sz w:val="22"/>
          <w:szCs w:val="22"/>
          <w:lang w:val="de-DE"/>
        </w:rPr>
        <w:br w:type="textWrapping" w:clear="all"/>
      </w:r>
      <w:r w:rsidRPr="00AB3C00">
        <w:rPr>
          <w:rFonts w:ascii="CorpoS" w:hAnsi="CorpoS"/>
          <w:sz w:val="22"/>
          <w:szCs w:val="22"/>
          <w:lang w:val="de-DE"/>
        </w:rPr>
        <w:t>6,3 Mrd</w:t>
      </w:r>
      <w:r w:rsidR="001B3257">
        <w:rPr>
          <w:rFonts w:ascii="CorpoS" w:hAnsi="CorpoS"/>
          <w:sz w:val="22"/>
          <w:szCs w:val="22"/>
          <w:lang w:val="de-DE"/>
        </w:rPr>
        <w:t>.</w:t>
      </w:r>
      <w:r w:rsidR="003D2A4A" w:rsidRPr="00AB3C00">
        <w:rPr>
          <w:rFonts w:ascii="CorpoS" w:hAnsi="CorpoS"/>
          <w:sz w:val="22"/>
          <w:szCs w:val="22"/>
          <w:lang w:val="de-DE"/>
        </w:rPr>
        <w:t xml:space="preserve"> €</w:t>
      </w:r>
      <w:r w:rsidRPr="00AB3C00">
        <w:rPr>
          <w:rFonts w:ascii="CorpoS" w:hAnsi="CorpoS"/>
          <w:sz w:val="22"/>
          <w:szCs w:val="22"/>
          <w:lang w:val="de-DE"/>
        </w:rPr>
        <w:t xml:space="preserve">. </w:t>
      </w:r>
      <w:r w:rsidR="003D2A4A" w:rsidRPr="00AB3C00">
        <w:rPr>
          <w:rFonts w:ascii="CorpoS" w:hAnsi="CorpoS"/>
          <w:sz w:val="22"/>
          <w:szCs w:val="22"/>
          <w:lang w:val="de-DE"/>
        </w:rPr>
        <w:t>Dabei dürfte der organische Umsatz des zivilen Seriengeschäfts auf Dollar Basis um rund 30 % zunehmen, im Ersatzteilgeschäft wird ein Plus im hohen Zehner- bis niedrigen Zwanziger-Prozentbereich erwartet. Der Umsatz der zivilen Instandhaltung dürfte 2023 organisch in US-Dollar im hohen Zehner-Prozentbereich zunehmen. Im Militärgeschäft dürfte der Umsatz im mittleren Zehner-Prozentbereich steigen</w:t>
      </w:r>
      <w:r w:rsidRPr="00AB3C00">
        <w:rPr>
          <w:rFonts w:ascii="CorpoS" w:hAnsi="CorpoS"/>
          <w:sz w:val="22"/>
          <w:szCs w:val="22"/>
          <w:lang w:val="de-DE"/>
        </w:rPr>
        <w:t xml:space="preserve">. </w:t>
      </w:r>
      <w:r w:rsidR="00555B50" w:rsidRPr="00AB3C00">
        <w:rPr>
          <w:rFonts w:ascii="CorpoS" w:hAnsi="CorpoS"/>
          <w:sz w:val="22"/>
          <w:szCs w:val="22"/>
          <w:lang w:val="de-DE"/>
        </w:rPr>
        <w:t xml:space="preserve">Das bereinigte EBIT </w:t>
      </w:r>
      <w:r w:rsidRPr="00AB3C00">
        <w:rPr>
          <w:rFonts w:ascii="CorpoS" w:hAnsi="CorpoS"/>
          <w:sz w:val="22"/>
          <w:szCs w:val="22"/>
          <w:lang w:val="de-DE"/>
        </w:rPr>
        <w:t xml:space="preserve">soll </w:t>
      </w:r>
      <w:r w:rsidR="006601E7" w:rsidRPr="00522D17">
        <w:rPr>
          <w:rFonts w:ascii="CorpoS" w:hAnsi="CorpoS"/>
          <w:sz w:val="22"/>
          <w:szCs w:val="22"/>
          <w:lang w:val="de-DE"/>
        </w:rPr>
        <w:t xml:space="preserve">2023 </w:t>
      </w:r>
      <w:r w:rsidR="007C5A6F" w:rsidRPr="00522D17">
        <w:rPr>
          <w:rFonts w:ascii="CorpoS" w:hAnsi="CorpoS"/>
          <w:sz w:val="22"/>
          <w:szCs w:val="22"/>
          <w:lang w:val="de-DE"/>
        </w:rPr>
        <w:t>leicht über</w:t>
      </w:r>
      <w:r w:rsidRPr="00522D17">
        <w:rPr>
          <w:rFonts w:ascii="CorpoS" w:hAnsi="CorpoS"/>
          <w:sz w:val="22"/>
          <w:szCs w:val="22"/>
          <w:lang w:val="de-DE"/>
        </w:rPr>
        <w:t xml:space="preserve"> 800</w:t>
      </w:r>
      <w:r w:rsidRPr="00AB3C00">
        <w:rPr>
          <w:rFonts w:ascii="CorpoS" w:hAnsi="CorpoS"/>
          <w:sz w:val="22"/>
          <w:szCs w:val="22"/>
          <w:lang w:val="de-DE"/>
        </w:rPr>
        <w:t xml:space="preserve"> Mio. € </w:t>
      </w:r>
      <w:r w:rsidR="007C5A6F">
        <w:rPr>
          <w:rFonts w:ascii="CorpoS" w:hAnsi="CorpoS"/>
          <w:sz w:val="22"/>
          <w:szCs w:val="22"/>
          <w:lang w:val="de-DE"/>
        </w:rPr>
        <w:t>liegen</w:t>
      </w:r>
      <w:r w:rsidRPr="00AB3C00">
        <w:rPr>
          <w:rFonts w:ascii="CorpoS" w:hAnsi="CorpoS"/>
          <w:sz w:val="22"/>
          <w:szCs w:val="22"/>
          <w:lang w:val="de-DE"/>
        </w:rPr>
        <w:t>, die bereinigte EBIT-Marge gegenüber dem Vorjahr leicht steigen</w:t>
      </w:r>
      <w:r w:rsidR="00D579BB" w:rsidRPr="00AB3C00">
        <w:rPr>
          <w:rFonts w:ascii="CorpoS" w:hAnsi="CorpoS"/>
          <w:sz w:val="22"/>
          <w:szCs w:val="22"/>
          <w:lang w:val="de-DE"/>
        </w:rPr>
        <w:t xml:space="preserve"> (2022: 12,3 %)</w:t>
      </w:r>
      <w:r w:rsidRPr="00AB3C00">
        <w:rPr>
          <w:rFonts w:ascii="CorpoS" w:hAnsi="CorpoS"/>
          <w:sz w:val="22"/>
          <w:szCs w:val="22"/>
          <w:lang w:val="de-DE"/>
        </w:rPr>
        <w:t xml:space="preserve">. Der Free Cashflow soll </w:t>
      </w:r>
      <w:r w:rsidRPr="00522D17">
        <w:rPr>
          <w:rFonts w:ascii="CorpoS" w:hAnsi="CorpoS"/>
          <w:sz w:val="22"/>
          <w:szCs w:val="22"/>
          <w:lang w:val="de-DE"/>
        </w:rPr>
        <w:t xml:space="preserve">2023 </w:t>
      </w:r>
      <w:r w:rsidR="007C5A6F" w:rsidRPr="00522D17">
        <w:rPr>
          <w:rFonts w:ascii="CorpoS" w:hAnsi="CorpoS"/>
          <w:sz w:val="22"/>
          <w:szCs w:val="22"/>
          <w:lang w:val="de-DE"/>
        </w:rPr>
        <w:t xml:space="preserve">leicht </w:t>
      </w:r>
      <w:r w:rsidRPr="00522D17">
        <w:rPr>
          <w:rFonts w:ascii="CorpoS" w:hAnsi="CorpoS"/>
          <w:sz w:val="22"/>
          <w:szCs w:val="22"/>
          <w:lang w:val="de-DE"/>
        </w:rPr>
        <w:t>über</w:t>
      </w:r>
      <w:r w:rsidRPr="00AB3C00">
        <w:rPr>
          <w:rFonts w:ascii="CorpoS" w:hAnsi="CorpoS"/>
          <w:sz w:val="22"/>
          <w:szCs w:val="22"/>
          <w:lang w:val="de-DE"/>
        </w:rPr>
        <w:t xml:space="preserve"> dem Vorjahreswert liegen (2022: 326 Mio. €).</w:t>
      </w:r>
    </w:p>
    <w:p w:rsidR="00AA155C" w:rsidRDefault="00AA155C" w:rsidP="0021479B">
      <w:pPr>
        <w:tabs>
          <w:tab w:val="left" w:pos="7655"/>
          <w:tab w:val="left" w:pos="9072"/>
        </w:tabs>
        <w:spacing w:line="300" w:lineRule="exact"/>
        <w:ind w:right="283"/>
        <w:jc w:val="both"/>
        <w:rPr>
          <w:rFonts w:ascii="CorpoS" w:hAnsi="CorpoS"/>
          <w:sz w:val="22"/>
          <w:szCs w:val="22"/>
          <w:lang w:val="de-DE"/>
        </w:rPr>
      </w:pPr>
    </w:p>
    <w:p w:rsidR="0021479B" w:rsidRPr="000841F4" w:rsidRDefault="0021479B" w:rsidP="0021479B">
      <w:pPr>
        <w:tabs>
          <w:tab w:val="left" w:pos="7655"/>
          <w:tab w:val="left" w:pos="9072"/>
        </w:tabs>
        <w:spacing w:line="300" w:lineRule="exact"/>
        <w:ind w:right="283"/>
        <w:jc w:val="both"/>
        <w:rPr>
          <w:rFonts w:ascii="CorpoS" w:hAnsi="CorpoS"/>
          <w:b/>
          <w:sz w:val="22"/>
          <w:szCs w:val="22"/>
          <w:lang w:val="de-DE"/>
        </w:rPr>
      </w:pPr>
      <w:r w:rsidRPr="000841F4">
        <w:rPr>
          <w:rFonts w:ascii="CorpoS" w:hAnsi="CorpoS"/>
          <w:b/>
          <w:sz w:val="22"/>
          <w:szCs w:val="22"/>
          <w:lang w:val="de-DE"/>
        </w:rPr>
        <w:t>MTU Aero Engines – Eckdaten 1. Halbjahr 20</w:t>
      </w:r>
      <w:r w:rsidR="00532E25" w:rsidRPr="000841F4">
        <w:rPr>
          <w:rFonts w:ascii="CorpoS" w:hAnsi="CorpoS"/>
          <w:b/>
          <w:sz w:val="22"/>
          <w:szCs w:val="22"/>
          <w:lang w:val="de-DE"/>
        </w:rPr>
        <w:t>2</w:t>
      </w:r>
      <w:r w:rsidR="00F31A55">
        <w:rPr>
          <w:rFonts w:ascii="CorpoS" w:hAnsi="CorpoS"/>
          <w:b/>
          <w:sz w:val="22"/>
          <w:szCs w:val="22"/>
          <w:lang w:val="de-DE"/>
        </w:rPr>
        <w:t>3</w:t>
      </w:r>
    </w:p>
    <w:p w:rsidR="0021479B" w:rsidRPr="00F03E07" w:rsidRDefault="0021479B" w:rsidP="0021479B">
      <w:pPr>
        <w:tabs>
          <w:tab w:val="left" w:pos="7938"/>
        </w:tabs>
        <w:autoSpaceDE w:val="0"/>
        <w:autoSpaceDN w:val="0"/>
        <w:adjustRightInd w:val="0"/>
        <w:ind w:right="283"/>
        <w:rPr>
          <w:rFonts w:ascii="CorpoS" w:hAnsi="CorpoS"/>
          <w:i/>
          <w:sz w:val="18"/>
          <w:szCs w:val="18"/>
          <w:lang w:val="de-DE"/>
        </w:rPr>
      </w:pPr>
      <w:r w:rsidRPr="00F03E07">
        <w:rPr>
          <w:rFonts w:ascii="CorpoS" w:hAnsi="CorpoS"/>
          <w:i/>
          <w:sz w:val="18"/>
          <w:szCs w:val="18"/>
          <w:lang w:val="de-DE"/>
        </w:rPr>
        <w:t>(Beträge in Mio. €)</w:t>
      </w:r>
    </w:p>
    <w:p w:rsidR="00761A2B" w:rsidRPr="00F03E07" w:rsidRDefault="00761A2B" w:rsidP="00ED7F59">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388"/>
        <w:gridCol w:w="1134"/>
        <w:gridCol w:w="1276"/>
        <w:gridCol w:w="1276"/>
        <w:gridCol w:w="1418"/>
      </w:tblGrid>
      <w:tr w:rsidR="00BE22C8" w:rsidRPr="003C0155" w:rsidTr="00704EE8">
        <w:tc>
          <w:tcPr>
            <w:tcW w:w="3715" w:type="dxa"/>
            <w:tcBorders>
              <w:right w:val="single" w:sz="4" w:space="0" w:color="auto"/>
            </w:tcBorders>
            <w:shd w:val="clear" w:color="auto" w:fill="auto"/>
          </w:tcPr>
          <w:p w:rsidR="00BE22C8" w:rsidRPr="003C0155" w:rsidRDefault="00BE22C8" w:rsidP="00972943">
            <w:pPr>
              <w:rPr>
                <w:rFonts w:ascii="CorpoS" w:hAnsi="CorpoS"/>
                <w:b/>
                <w:sz w:val="22"/>
                <w:szCs w:val="22"/>
              </w:rPr>
            </w:pPr>
            <w:r w:rsidRPr="003C0155">
              <w:rPr>
                <w:rFonts w:ascii="CorpoS" w:hAnsi="CorpoS"/>
                <w:b/>
                <w:sz w:val="22"/>
                <w:szCs w:val="22"/>
                <w:lang w:val="de-DE"/>
              </w:rPr>
              <w:t xml:space="preserve">MTU </w:t>
            </w:r>
            <w:r w:rsidRPr="003C0155">
              <w:rPr>
                <w:rFonts w:ascii="CorpoS" w:hAnsi="CorpoS"/>
                <w:b/>
                <w:sz w:val="22"/>
                <w:szCs w:val="22"/>
              </w:rPr>
              <w:t>Aero Engines</w:t>
            </w:r>
          </w:p>
          <w:p w:rsidR="00BE22C8" w:rsidRPr="003C0155" w:rsidRDefault="00BE22C8" w:rsidP="00972943">
            <w:pPr>
              <w:rPr>
                <w:rFonts w:ascii="CorpoS" w:hAnsi="CorpoS"/>
                <w:b/>
                <w:sz w:val="22"/>
                <w:szCs w:val="22"/>
              </w:rPr>
            </w:pPr>
          </w:p>
        </w:tc>
        <w:tc>
          <w:tcPr>
            <w:tcW w:w="1388" w:type="dxa"/>
            <w:tcBorders>
              <w:left w:val="single" w:sz="4" w:space="0" w:color="auto"/>
              <w:right w:val="single" w:sz="4" w:space="0" w:color="auto"/>
            </w:tcBorders>
          </w:tcPr>
          <w:p w:rsidR="00BE22C8" w:rsidRPr="003C0155" w:rsidRDefault="00BE22C8" w:rsidP="00F31A55">
            <w:pPr>
              <w:jc w:val="right"/>
              <w:rPr>
                <w:rFonts w:ascii="CorpoS" w:hAnsi="CorpoS"/>
                <w:b/>
                <w:sz w:val="22"/>
                <w:szCs w:val="22"/>
                <w:lang w:val="de-DE"/>
              </w:rPr>
            </w:pPr>
            <w:r w:rsidRPr="003C0155">
              <w:rPr>
                <w:rFonts w:ascii="CorpoS" w:hAnsi="CorpoS"/>
                <w:b/>
                <w:sz w:val="22"/>
                <w:szCs w:val="22"/>
                <w:lang w:val="de-DE"/>
              </w:rPr>
              <w:t>Q2 20</w:t>
            </w:r>
            <w:r w:rsidR="0083006E">
              <w:rPr>
                <w:rFonts w:ascii="CorpoS" w:hAnsi="CorpoS"/>
                <w:b/>
                <w:sz w:val="22"/>
                <w:szCs w:val="22"/>
                <w:lang w:val="de-DE"/>
              </w:rPr>
              <w:t>2</w:t>
            </w:r>
            <w:r w:rsidR="00F31A55">
              <w:rPr>
                <w:rFonts w:ascii="CorpoS" w:hAnsi="CorpoS"/>
                <w:b/>
                <w:sz w:val="22"/>
                <w:szCs w:val="22"/>
                <w:lang w:val="de-DE"/>
              </w:rPr>
              <w:t>2</w:t>
            </w:r>
          </w:p>
        </w:tc>
        <w:tc>
          <w:tcPr>
            <w:tcW w:w="1134" w:type="dxa"/>
            <w:tcBorders>
              <w:left w:val="single" w:sz="4" w:space="0" w:color="auto"/>
              <w:right w:val="single" w:sz="18" w:space="0" w:color="auto"/>
            </w:tcBorders>
          </w:tcPr>
          <w:p w:rsidR="00BE22C8" w:rsidRPr="003C0155" w:rsidRDefault="00BE22C8" w:rsidP="009F3555">
            <w:pPr>
              <w:jc w:val="right"/>
              <w:rPr>
                <w:rFonts w:ascii="CorpoS" w:hAnsi="CorpoS"/>
                <w:b/>
                <w:sz w:val="22"/>
                <w:szCs w:val="22"/>
                <w:lang w:val="de-DE"/>
              </w:rPr>
            </w:pPr>
            <w:r w:rsidRPr="003C0155">
              <w:rPr>
                <w:rFonts w:ascii="CorpoS" w:hAnsi="CorpoS"/>
                <w:b/>
                <w:sz w:val="22"/>
                <w:szCs w:val="22"/>
                <w:lang w:val="de-DE"/>
              </w:rPr>
              <w:t xml:space="preserve">Q2 </w:t>
            </w:r>
            <w:r w:rsidR="00532E25">
              <w:rPr>
                <w:rFonts w:ascii="CorpoS" w:hAnsi="CorpoS"/>
                <w:b/>
                <w:sz w:val="22"/>
                <w:szCs w:val="22"/>
                <w:lang w:val="de-DE"/>
              </w:rPr>
              <w:t>202</w:t>
            </w:r>
            <w:r w:rsidR="009F3555">
              <w:rPr>
                <w:rFonts w:ascii="CorpoS" w:hAnsi="CorpoS"/>
                <w:b/>
                <w:sz w:val="22"/>
                <w:szCs w:val="22"/>
                <w:lang w:val="de-DE"/>
              </w:rPr>
              <w:t>3</w:t>
            </w:r>
          </w:p>
        </w:tc>
        <w:tc>
          <w:tcPr>
            <w:tcW w:w="1276" w:type="dxa"/>
            <w:tcBorders>
              <w:top w:val="single" w:sz="18" w:space="0" w:color="auto"/>
              <w:left w:val="single" w:sz="18" w:space="0" w:color="auto"/>
            </w:tcBorders>
            <w:shd w:val="clear" w:color="auto" w:fill="auto"/>
          </w:tcPr>
          <w:p w:rsidR="00BE22C8" w:rsidRPr="003C0155" w:rsidRDefault="00BE22C8" w:rsidP="00972943">
            <w:pPr>
              <w:jc w:val="right"/>
              <w:rPr>
                <w:rFonts w:ascii="CorpoS" w:hAnsi="CorpoS"/>
                <w:b/>
                <w:sz w:val="22"/>
                <w:szCs w:val="22"/>
                <w:lang w:val="de-DE"/>
              </w:rPr>
            </w:pPr>
            <w:r w:rsidRPr="003C0155">
              <w:rPr>
                <w:rFonts w:ascii="CorpoS" w:hAnsi="CorpoS"/>
                <w:b/>
                <w:sz w:val="22"/>
                <w:szCs w:val="22"/>
                <w:lang w:val="de-DE"/>
              </w:rPr>
              <w:t>per Juni 20</w:t>
            </w:r>
            <w:r w:rsidR="0083006E">
              <w:rPr>
                <w:rFonts w:ascii="CorpoS" w:hAnsi="CorpoS"/>
                <w:b/>
                <w:sz w:val="22"/>
                <w:szCs w:val="22"/>
                <w:lang w:val="de-DE"/>
              </w:rPr>
              <w:t>2</w:t>
            </w:r>
            <w:r w:rsidR="00F31A55">
              <w:rPr>
                <w:rFonts w:ascii="CorpoS" w:hAnsi="CorpoS"/>
                <w:b/>
                <w:sz w:val="22"/>
                <w:szCs w:val="22"/>
                <w:lang w:val="de-DE"/>
              </w:rPr>
              <w:t>2</w:t>
            </w:r>
          </w:p>
          <w:p w:rsidR="00BE22C8" w:rsidRPr="003C0155" w:rsidRDefault="00BE22C8" w:rsidP="00972943">
            <w:pPr>
              <w:jc w:val="right"/>
              <w:rPr>
                <w:rFonts w:ascii="CorpoS" w:hAnsi="CorpoS"/>
                <w:i/>
                <w:sz w:val="16"/>
                <w:szCs w:val="16"/>
                <w:lang w:val="de-DE"/>
              </w:rPr>
            </w:pPr>
          </w:p>
        </w:tc>
        <w:tc>
          <w:tcPr>
            <w:tcW w:w="1276" w:type="dxa"/>
            <w:tcBorders>
              <w:top w:val="single" w:sz="18" w:space="0" w:color="auto"/>
            </w:tcBorders>
            <w:shd w:val="clear" w:color="auto" w:fill="auto"/>
          </w:tcPr>
          <w:p w:rsidR="00BE22C8" w:rsidRPr="003C0155" w:rsidRDefault="00BE22C8" w:rsidP="00F31A55">
            <w:pPr>
              <w:jc w:val="right"/>
              <w:rPr>
                <w:rFonts w:ascii="CorpoS" w:hAnsi="CorpoS"/>
                <w:b/>
                <w:sz w:val="22"/>
                <w:szCs w:val="22"/>
                <w:lang w:val="de-DE"/>
              </w:rPr>
            </w:pPr>
            <w:r w:rsidRPr="003C0155">
              <w:rPr>
                <w:rFonts w:ascii="CorpoS" w:hAnsi="CorpoS"/>
                <w:b/>
                <w:sz w:val="22"/>
                <w:szCs w:val="22"/>
                <w:lang w:val="de-DE"/>
              </w:rPr>
              <w:t>per Juni 20</w:t>
            </w:r>
            <w:r w:rsidR="00532E25">
              <w:rPr>
                <w:rFonts w:ascii="CorpoS" w:hAnsi="CorpoS"/>
                <w:b/>
                <w:sz w:val="22"/>
                <w:szCs w:val="22"/>
                <w:lang w:val="de-DE"/>
              </w:rPr>
              <w:t>2</w:t>
            </w:r>
            <w:r w:rsidR="00F31A55">
              <w:rPr>
                <w:rFonts w:ascii="CorpoS" w:hAnsi="CorpoS"/>
                <w:b/>
                <w:sz w:val="22"/>
                <w:szCs w:val="22"/>
                <w:lang w:val="de-DE"/>
              </w:rPr>
              <w:t>3</w:t>
            </w:r>
          </w:p>
        </w:tc>
        <w:tc>
          <w:tcPr>
            <w:tcW w:w="1418" w:type="dxa"/>
            <w:tcBorders>
              <w:top w:val="single" w:sz="18" w:space="0" w:color="auto"/>
              <w:right w:val="single" w:sz="18" w:space="0" w:color="auto"/>
            </w:tcBorders>
            <w:shd w:val="clear" w:color="auto" w:fill="auto"/>
          </w:tcPr>
          <w:p w:rsidR="00BE22C8" w:rsidRPr="003C0155" w:rsidRDefault="00BE22C8" w:rsidP="00972943">
            <w:pPr>
              <w:ind w:right="33"/>
              <w:rPr>
                <w:rFonts w:ascii="CorpoS" w:hAnsi="CorpoS"/>
                <w:b/>
                <w:sz w:val="22"/>
                <w:szCs w:val="22"/>
                <w:lang w:val="de-DE"/>
              </w:rPr>
            </w:pPr>
            <w:r w:rsidRPr="003C0155">
              <w:rPr>
                <w:rFonts w:ascii="CorpoS" w:hAnsi="CorpoS"/>
                <w:b/>
                <w:sz w:val="22"/>
                <w:szCs w:val="22"/>
                <w:lang w:val="de-DE"/>
              </w:rPr>
              <w:t>Veränderung</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lang w:val="de-DE"/>
              </w:rPr>
            </w:pPr>
            <w:r w:rsidRPr="003C0155">
              <w:rPr>
                <w:rFonts w:ascii="CorpoS" w:hAnsi="CorpoS"/>
                <w:sz w:val="22"/>
                <w:szCs w:val="22"/>
                <w:lang w:val="de-DE"/>
              </w:rPr>
              <w:t>Umsatz</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lang w:val="de-DE" w:eastAsia="zh-CN"/>
              </w:rPr>
            </w:pPr>
            <w:r>
              <w:rPr>
                <w:rFonts w:ascii="CorpoS" w:hAnsi="CorpoS" w:cs="Arial"/>
                <w:sz w:val="22"/>
                <w:szCs w:val="22"/>
              </w:rPr>
              <w:t>1.289</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1.549</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lang w:val="de-DE" w:eastAsia="zh-CN"/>
              </w:rPr>
            </w:pPr>
            <w:r>
              <w:rPr>
                <w:rFonts w:ascii="CorpoS" w:hAnsi="CorpoS" w:cs="Arial"/>
                <w:sz w:val="22"/>
                <w:szCs w:val="22"/>
              </w:rPr>
              <w:t>2.469</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3.093</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+ 25 %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lang w:val="de-DE"/>
              </w:rPr>
            </w:pPr>
            <w:r w:rsidRPr="003C0155">
              <w:rPr>
                <w:rFonts w:ascii="CorpoS" w:hAnsi="CorpoS"/>
                <w:sz w:val="22"/>
                <w:szCs w:val="22"/>
                <w:lang w:val="de-DE"/>
              </w:rPr>
              <w:t xml:space="preserve">   davon OEM-Geschäft</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424</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512</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810</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1.061</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+ 31 %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lang w:val="de-DE"/>
              </w:rPr>
              <w:t xml:space="preserve">          davon ziviles </w:t>
            </w:r>
            <w:proofErr w:type="spellStart"/>
            <w:r w:rsidRPr="003C0155">
              <w:rPr>
                <w:rFonts w:ascii="CorpoS" w:hAnsi="CorpoS"/>
                <w:sz w:val="22"/>
                <w:szCs w:val="22"/>
                <w:lang w:val="de-DE"/>
              </w:rPr>
              <w:t>Triebwerksg</w:t>
            </w:r>
            <w:r w:rsidRPr="003C0155">
              <w:rPr>
                <w:rFonts w:ascii="CorpoS" w:hAnsi="CorpoS"/>
                <w:sz w:val="22"/>
                <w:szCs w:val="22"/>
              </w:rPr>
              <w:t>eschäft</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318</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387</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596</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832</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+ 40 %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milit</w:t>
            </w:r>
            <w:proofErr w:type="spellEnd"/>
            <w:r w:rsidRPr="003C0155">
              <w:rPr>
                <w:rFonts w:ascii="CorpoS" w:hAnsi="CorpoS"/>
                <w:sz w:val="22"/>
                <w:szCs w:val="22"/>
              </w:rPr>
              <w:t xml:space="preserve">. </w:t>
            </w:r>
            <w:proofErr w:type="spellStart"/>
            <w:r w:rsidRPr="003C0155">
              <w:rPr>
                <w:rFonts w:ascii="CorpoS" w:hAnsi="CorpoS"/>
                <w:sz w:val="22"/>
                <w:szCs w:val="22"/>
              </w:rPr>
              <w:t>Triebwerksgeschäft</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106</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126</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213</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229</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+ 7 %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zivile</w:t>
            </w:r>
            <w:proofErr w:type="spellEnd"/>
            <w:r w:rsidRPr="003C0155">
              <w:rPr>
                <w:rFonts w:ascii="CorpoS" w:hAnsi="CorpoS"/>
                <w:sz w:val="22"/>
                <w:szCs w:val="22"/>
              </w:rPr>
              <w:t xml:space="preserve"> </w:t>
            </w:r>
            <w:proofErr w:type="spellStart"/>
            <w:r w:rsidRPr="003C0155">
              <w:rPr>
                <w:rFonts w:ascii="CorpoS" w:hAnsi="CorpoS"/>
                <w:sz w:val="22"/>
                <w:szCs w:val="22"/>
              </w:rPr>
              <w:t>Instandhaltung</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892</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1.060</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1.711</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2.081</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+ 22 %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rPr>
              <w:t>EBIT (</w:t>
            </w:r>
            <w:proofErr w:type="spellStart"/>
            <w:r w:rsidRPr="003C0155">
              <w:rPr>
                <w:rFonts w:ascii="CorpoS" w:hAnsi="CorpoS"/>
                <w:sz w:val="22"/>
                <w:szCs w:val="22"/>
              </w:rPr>
              <w:t>bereinigt</w:t>
            </w:r>
            <w:proofErr w:type="spellEnd"/>
            <w:r w:rsidRPr="003C0155">
              <w:rPr>
                <w:rFonts w:ascii="CorpoS" w:hAnsi="CorpoS"/>
                <w:sz w:val="22"/>
                <w:szCs w:val="22"/>
              </w:rPr>
              <w:t>)</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159</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193</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290</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405</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+ 40 %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OEM-</w:t>
            </w:r>
            <w:proofErr w:type="spellStart"/>
            <w:r w:rsidRPr="003C0155">
              <w:rPr>
                <w:rFonts w:ascii="CorpoS" w:hAnsi="CorpoS"/>
                <w:sz w:val="22"/>
                <w:szCs w:val="22"/>
              </w:rPr>
              <w:t>Geschäft</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87</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121</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165</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262</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+ 59 %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zivile</w:t>
            </w:r>
            <w:proofErr w:type="spellEnd"/>
            <w:r w:rsidRPr="003C0155">
              <w:rPr>
                <w:rFonts w:ascii="CorpoS" w:hAnsi="CorpoS"/>
                <w:sz w:val="22"/>
                <w:szCs w:val="22"/>
              </w:rPr>
              <w:t xml:space="preserve"> </w:t>
            </w:r>
            <w:proofErr w:type="spellStart"/>
            <w:r w:rsidRPr="003C0155">
              <w:rPr>
                <w:rFonts w:ascii="CorpoS" w:hAnsi="CorpoS"/>
                <w:sz w:val="22"/>
                <w:szCs w:val="22"/>
              </w:rPr>
              <w:t>Instandhaltung</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72</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124</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141</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+ 14 %</w:t>
            </w:r>
          </w:p>
        </w:tc>
      </w:tr>
      <w:tr w:rsidR="00604690" w:rsidRPr="003C0155" w:rsidDel="0033104F" w:rsidTr="00704EE8">
        <w:tc>
          <w:tcPr>
            <w:tcW w:w="3715" w:type="dxa"/>
            <w:tcBorders>
              <w:right w:val="single" w:sz="4" w:space="0" w:color="auto"/>
            </w:tcBorders>
            <w:shd w:val="clear" w:color="auto" w:fill="auto"/>
          </w:tcPr>
          <w:p w:rsidR="00604690" w:rsidRPr="003C0155" w:rsidRDefault="00604690" w:rsidP="00604690">
            <w:pPr>
              <w:rPr>
                <w:rFonts w:ascii="CorpoS" w:hAnsi="CorpoS"/>
                <w:i/>
                <w:sz w:val="22"/>
                <w:szCs w:val="22"/>
              </w:rPr>
            </w:pPr>
            <w:r w:rsidRPr="003C0155">
              <w:rPr>
                <w:rFonts w:ascii="CorpoS" w:hAnsi="CorpoS"/>
                <w:i/>
                <w:sz w:val="22"/>
                <w:szCs w:val="22"/>
              </w:rPr>
              <w:t>EBIT-Marge (</w:t>
            </w:r>
            <w:proofErr w:type="spellStart"/>
            <w:r w:rsidRPr="003C0155">
              <w:rPr>
                <w:rFonts w:ascii="CorpoS" w:hAnsi="CorpoS"/>
                <w:i/>
                <w:sz w:val="22"/>
                <w:szCs w:val="22"/>
              </w:rPr>
              <w:t>bereinigt</w:t>
            </w:r>
            <w:proofErr w:type="spellEnd"/>
            <w:r w:rsidRPr="003C0155">
              <w:rPr>
                <w:rFonts w:ascii="CorpoS" w:hAnsi="CorpoS"/>
                <w:i/>
                <w:sz w:val="22"/>
                <w:szCs w:val="22"/>
              </w:rPr>
              <w:t>)</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12,3 %</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12,5 %</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11,7 %</w:t>
            </w:r>
          </w:p>
        </w:tc>
        <w:tc>
          <w:tcPr>
            <w:tcW w:w="1276" w:type="dxa"/>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13,1 %</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 </w:t>
            </w:r>
          </w:p>
        </w:tc>
      </w:tr>
      <w:tr w:rsidR="00604690" w:rsidRPr="003C0155" w:rsidDel="0033104F" w:rsidTr="00704EE8">
        <w:tc>
          <w:tcPr>
            <w:tcW w:w="3715" w:type="dxa"/>
            <w:tcBorders>
              <w:right w:val="single" w:sz="4" w:space="0" w:color="auto"/>
            </w:tcBorders>
            <w:shd w:val="clear" w:color="auto" w:fill="auto"/>
          </w:tcPr>
          <w:p w:rsidR="00604690" w:rsidRPr="003C0155" w:rsidRDefault="00604690" w:rsidP="00604690">
            <w:pPr>
              <w:tabs>
                <w:tab w:val="left" w:pos="176"/>
              </w:tabs>
              <w:rPr>
                <w:rFonts w:ascii="CorpoS" w:hAnsi="CorpoS"/>
                <w:i/>
                <w:sz w:val="22"/>
                <w:szCs w:val="22"/>
              </w:rPr>
            </w:pPr>
            <w:r w:rsidRPr="003C0155">
              <w:rPr>
                <w:rFonts w:ascii="CorpoS" w:hAnsi="CorpoS"/>
                <w:i/>
                <w:sz w:val="22"/>
                <w:szCs w:val="22"/>
              </w:rPr>
              <w:t xml:space="preserve">   </w:t>
            </w:r>
            <w:proofErr w:type="spellStart"/>
            <w:r w:rsidRPr="003C0155">
              <w:rPr>
                <w:rFonts w:ascii="CorpoS" w:hAnsi="CorpoS"/>
                <w:i/>
                <w:sz w:val="22"/>
                <w:szCs w:val="22"/>
              </w:rPr>
              <w:t>im</w:t>
            </w:r>
            <w:proofErr w:type="spellEnd"/>
            <w:r w:rsidRPr="003C0155">
              <w:rPr>
                <w:rFonts w:ascii="CorpoS" w:hAnsi="CorpoS"/>
                <w:i/>
                <w:sz w:val="22"/>
                <w:szCs w:val="22"/>
              </w:rPr>
              <w:t xml:space="preserve"> OEM-</w:t>
            </w:r>
            <w:proofErr w:type="spellStart"/>
            <w:r w:rsidRPr="003C0155">
              <w:rPr>
                <w:rFonts w:ascii="CorpoS" w:hAnsi="CorpoS"/>
                <w:i/>
                <w:sz w:val="22"/>
                <w:szCs w:val="22"/>
              </w:rPr>
              <w:t>Geschäft</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20,5 %</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23,6 %</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20,4 %</w:t>
            </w:r>
          </w:p>
        </w:tc>
        <w:tc>
          <w:tcPr>
            <w:tcW w:w="1276" w:type="dxa"/>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24,7 %</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 </w:t>
            </w:r>
          </w:p>
        </w:tc>
      </w:tr>
      <w:tr w:rsidR="00604690" w:rsidRPr="003C0155" w:rsidDel="0033104F" w:rsidTr="00704EE8">
        <w:tc>
          <w:tcPr>
            <w:tcW w:w="3715" w:type="dxa"/>
            <w:tcBorders>
              <w:right w:val="single" w:sz="4" w:space="0" w:color="auto"/>
            </w:tcBorders>
            <w:shd w:val="clear" w:color="auto" w:fill="auto"/>
          </w:tcPr>
          <w:p w:rsidR="00604690" w:rsidRPr="003C0155" w:rsidRDefault="00604690" w:rsidP="00604690">
            <w:pPr>
              <w:rPr>
                <w:rFonts w:ascii="CorpoS" w:hAnsi="CorpoS"/>
                <w:i/>
                <w:sz w:val="22"/>
                <w:szCs w:val="22"/>
              </w:rPr>
            </w:pPr>
            <w:r w:rsidRPr="003C0155">
              <w:rPr>
                <w:rFonts w:ascii="CorpoS" w:hAnsi="CorpoS"/>
                <w:i/>
                <w:sz w:val="22"/>
                <w:szCs w:val="22"/>
              </w:rPr>
              <w:t xml:space="preserve">   in der </w:t>
            </w:r>
            <w:proofErr w:type="spellStart"/>
            <w:r w:rsidRPr="003C0155">
              <w:rPr>
                <w:rFonts w:ascii="CorpoS" w:hAnsi="CorpoS"/>
                <w:i/>
                <w:sz w:val="22"/>
                <w:szCs w:val="22"/>
              </w:rPr>
              <w:t>zivilen</w:t>
            </w:r>
            <w:proofErr w:type="spellEnd"/>
            <w:r w:rsidRPr="003C0155">
              <w:rPr>
                <w:rFonts w:ascii="CorpoS" w:hAnsi="CorpoS"/>
                <w:i/>
                <w:sz w:val="22"/>
                <w:szCs w:val="22"/>
              </w:rPr>
              <w:t xml:space="preserve"> </w:t>
            </w:r>
            <w:proofErr w:type="spellStart"/>
            <w:r w:rsidRPr="003C0155">
              <w:rPr>
                <w:rFonts w:ascii="CorpoS" w:hAnsi="CorpoS"/>
                <w:i/>
                <w:sz w:val="22"/>
                <w:szCs w:val="22"/>
              </w:rPr>
              <w:t>Instandhaltung</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8,1 %</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6,8 %</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7,3 %</w:t>
            </w:r>
          </w:p>
        </w:tc>
        <w:tc>
          <w:tcPr>
            <w:tcW w:w="1276" w:type="dxa"/>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6,8 %</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rPr>
              <w:t>Net Income (</w:t>
            </w:r>
            <w:proofErr w:type="spellStart"/>
            <w:r w:rsidRPr="003C0155">
              <w:rPr>
                <w:rFonts w:ascii="CorpoS" w:hAnsi="CorpoS"/>
                <w:sz w:val="22"/>
                <w:szCs w:val="22"/>
              </w:rPr>
              <w:t>bereinigt</w:t>
            </w:r>
            <w:proofErr w:type="spellEnd"/>
            <w:r w:rsidRPr="003C0155">
              <w:rPr>
                <w:rFonts w:ascii="CorpoS" w:hAnsi="CorpoS"/>
                <w:sz w:val="22"/>
                <w:szCs w:val="22"/>
              </w:rPr>
              <w:t>)</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114</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143</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207</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300</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+ 45 %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rPr>
              <w:t>Net Income (reported)</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66</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122</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120</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256</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+ 113 %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lang w:val="de-DE"/>
              </w:rPr>
            </w:pPr>
            <w:r w:rsidRPr="003C0155">
              <w:rPr>
                <w:rFonts w:ascii="CorpoS" w:hAnsi="CorpoS"/>
                <w:sz w:val="22"/>
                <w:szCs w:val="22"/>
                <w:lang w:val="de-DE"/>
              </w:rPr>
              <w:t>Ergebnis je Aktie (</w:t>
            </w:r>
            <w:proofErr w:type="spellStart"/>
            <w:r w:rsidRPr="003C0155">
              <w:rPr>
                <w:rFonts w:ascii="CorpoS" w:hAnsi="CorpoS"/>
                <w:sz w:val="22"/>
                <w:szCs w:val="22"/>
                <w:lang w:val="de-DE"/>
              </w:rPr>
              <w:t>unverwässert</w:t>
            </w:r>
            <w:proofErr w:type="spellEnd"/>
            <w:r w:rsidRPr="003C0155">
              <w:rPr>
                <w:rFonts w:ascii="CorpoS" w:hAnsi="CorpoS"/>
                <w:sz w:val="22"/>
                <w:szCs w:val="22"/>
                <w:lang w:val="de-DE"/>
              </w:rPr>
              <w:t xml:space="preserve">, </w:t>
            </w:r>
            <w:proofErr w:type="spellStart"/>
            <w:r w:rsidRPr="003C0155">
              <w:rPr>
                <w:rFonts w:ascii="CorpoS" w:hAnsi="CorpoS"/>
                <w:sz w:val="22"/>
                <w:szCs w:val="22"/>
                <w:lang w:val="de-DE"/>
              </w:rPr>
              <w:t>reported</w:t>
            </w:r>
            <w:proofErr w:type="spellEnd"/>
            <w:r w:rsidRPr="003C0155">
              <w:rPr>
                <w:rFonts w:ascii="CorpoS" w:hAnsi="CorpoS"/>
                <w:sz w:val="22"/>
                <w:szCs w:val="22"/>
                <w:lang w:val="de-DE"/>
              </w:rPr>
              <w:t>)</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color w:val="000000"/>
                <w:sz w:val="22"/>
                <w:szCs w:val="22"/>
              </w:rPr>
            </w:pPr>
            <w:r>
              <w:rPr>
                <w:rFonts w:ascii="CorpoS" w:hAnsi="CorpoS" w:cs="Arial"/>
                <w:color w:val="000000"/>
                <w:sz w:val="22"/>
                <w:szCs w:val="22"/>
              </w:rPr>
              <w:t>1,24</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color w:val="000000"/>
                <w:sz w:val="22"/>
                <w:szCs w:val="22"/>
              </w:rPr>
            </w:pPr>
            <w:r>
              <w:rPr>
                <w:rFonts w:ascii="CorpoS" w:hAnsi="CorpoS" w:cs="Arial"/>
                <w:color w:val="000000"/>
                <w:sz w:val="22"/>
                <w:szCs w:val="22"/>
              </w:rPr>
              <w:t>2,28</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color w:val="000000"/>
                <w:sz w:val="22"/>
                <w:szCs w:val="22"/>
              </w:rPr>
            </w:pPr>
            <w:r>
              <w:rPr>
                <w:rFonts w:ascii="CorpoS" w:hAnsi="CorpoS" w:cs="Arial"/>
                <w:color w:val="000000"/>
                <w:sz w:val="22"/>
                <w:szCs w:val="22"/>
              </w:rPr>
              <w:t>2,23</w:t>
            </w:r>
          </w:p>
        </w:tc>
        <w:tc>
          <w:tcPr>
            <w:tcW w:w="1276" w:type="dxa"/>
            <w:shd w:val="clear" w:color="auto" w:fill="auto"/>
            <w:vAlign w:val="center"/>
          </w:tcPr>
          <w:p w:rsidR="00604690" w:rsidRDefault="00604690" w:rsidP="00604690">
            <w:pPr>
              <w:ind w:firstLineChars="100" w:firstLine="220"/>
              <w:jc w:val="right"/>
              <w:rPr>
                <w:rFonts w:ascii="CorpoS" w:hAnsi="CorpoS" w:cs="Arial"/>
                <w:color w:val="000000"/>
                <w:sz w:val="22"/>
                <w:szCs w:val="22"/>
              </w:rPr>
            </w:pPr>
            <w:r>
              <w:rPr>
                <w:rFonts w:ascii="CorpoS" w:hAnsi="CorpoS" w:cs="Arial"/>
                <w:color w:val="000000"/>
                <w:sz w:val="22"/>
                <w:szCs w:val="22"/>
              </w:rPr>
              <w:t>4,75</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color w:val="000000"/>
                <w:sz w:val="22"/>
                <w:szCs w:val="22"/>
              </w:rPr>
            </w:pPr>
            <w:r>
              <w:rPr>
                <w:rFonts w:ascii="CorpoS" w:hAnsi="CorpoS" w:cs="Arial"/>
                <w:color w:val="000000"/>
                <w:sz w:val="22"/>
                <w:szCs w:val="22"/>
              </w:rPr>
              <w:t>+ 113 %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Pr>
                <w:rFonts w:ascii="CorpoS" w:hAnsi="CorpoS"/>
                <w:sz w:val="22"/>
                <w:szCs w:val="22"/>
              </w:rPr>
              <w:t>EBITDA (reported)</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216</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259</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390</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537</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+ 38 %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rPr>
              <w:t xml:space="preserve">Free </w:t>
            </w:r>
            <w:proofErr w:type="spellStart"/>
            <w:r w:rsidRPr="003C0155">
              <w:rPr>
                <w:rFonts w:ascii="CorpoS" w:hAnsi="CorpoS"/>
                <w:sz w:val="22"/>
                <w:szCs w:val="22"/>
              </w:rPr>
              <w:t>Cashflow</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33</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42</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168</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135</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- 19 %</w:t>
            </w:r>
          </w:p>
        </w:tc>
      </w:tr>
      <w:tr w:rsidR="00604690" w:rsidRPr="003C0155" w:rsidTr="00704EE8">
        <w:tc>
          <w:tcPr>
            <w:tcW w:w="3715" w:type="dxa"/>
            <w:tcBorders>
              <w:right w:val="single" w:sz="4" w:space="0" w:color="auto"/>
            </w:tcBorders>
            <w:shd w:val="clear" w:color="auto" w:fill="auto"/>
          </w:tcPr>
          <w:p w:rsidR="00604690" w:rsidRPr="003C0155" w:rsidRDefault="00604690" w:rsidP="009F3555">
            <w:pPr>
              <w:rPr>
                <w:rFonts w:ascii="CorpoS" w:hAnsi="CorpoS"/>
                <w:sz w:val="22"/>
                <w:szCs w:val="22"/>
                <w:lang w:val="de-DE"/>
              </w:rPr>
            </w:pPr>
            <w:r w:rsidRPr="003C0155">
              <w:rPr>
                <w:rFonts w:ascii="CorpoS" w:hAnsi="CorpoS"/>
                <w:sz w:val="22"/>
                <w:szCs w:val="22"/>
                <w:lang w:val="de-DE"/>
              </w:rPr>
              <w:t>Forschungs- und Entwicklungs</w:t>
            </w:r>
            <w:r w:rsidR="009F3555">
              <w:rPr>
                <w:rFonts w:ascii="CorpoS" w:hAnsi="CorpoS"/>
                <w:sz w:val="22"/>
                <w:szCs w:val="22"/>
                <w:lang w:val="de-DE"/>
              </w:rPr>
              <w:t>ausgaben</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72</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90</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135</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158</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+ 17 %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lang w:val="de-DE"/>
              </w:rPr>
            </w:pPr>
            <w:r w:rsidRPr="003C0155">
              <w:rPr>
                <w:rFonts w:ascii="CorpoS" w:hAnsi="CorpoS"/>
                <w:sz w:val="22"/>
                <w:szCs w:val="22"/>
                <w:lang w:val="de-DE"/>
              </w:rPr>
              <w:t xml:space="preserve">   davon eigenfinanzierte F&amp;E</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54</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101</w:t>
            </w:r>
          </w:p>
        </w:tc>
        <w:tc>
          <w:tcPr>
            <w:tcW w:w="1276" w:type="dxa"/>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119</w:t>
            </w:r>
          </w:p>
        </w:tc>
        <w:tc>
          <w:tcPr>
            <w:tcW w:w="1418" w:type="dxa"/>
            <w:tcBorders>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+ 18 %</w:t>
            </w:r>
          </w:p>
        </w:tc>
      </w:tr>
      <w:tr w:rsidR="00604690" w:rsidRPr="003C0155" w:rsidTr="00704EE8">
        <w:tc>
          <w:tcPr>
            <w:tcW w:w="3715" w:type="dxa"/>
            <w:tcBorders>
              <w:bottom w:val="single" w:sz="4" w:space="0" w:color="auto"/>
              <w:right w:val="single" w:sz="4" w:space="0" w:color="auto"/>
            </w:tcBorders>
            <w:shd w:val="clear" w:color="auto" w:fill="auto"/>
          </w:tcPr>
          <w:p w:rsidR="00604690" w:rsidRPr="003C0155" w:rsidRDefault="00604690" w:rsidP="00604690">
            <w:pPr>
              <w:rPr>
                <w:rFonts w:ascii="CorpoS" w:hAnsi="CorpoS"/>
                <w:sz w:val="22"/>
                <w:szCs w:val="22"/>
              </w:rPr>
            </w:pPr>
            <w:r w:rsidRPr="003C0155">
              <w:rPr>
                <w:rFonts w:ascii="CorpoS" w:hAnsi="CorpoS"/>
                <w:sz w:val="22"/>
                <w:szCs w:val="22"/>
                <w:lang w:val="de-DE"/>
              </w:rPr>
              <w:t xml:space="preserve">   davon f</w:t>
            </w:r>
            <w:proofErr w:type="spellStart"/>
            <w:r w:rsidRPr="003C0155">
              <w:rPr>
                <w:rFonts w:ascii="CorpoS" w:hAnsi="CorpoS"/>
                <w:sz w:val="22"/>
                <w:szCs w:val="22"/>
              </w:rPr>
              <w:t>remdfinanzierte</w:t>
            </w:r>
            <w:proofErr w:type="spellEnd"/>
            <w:r w:rsidRPr="003C0155">
              <w:rPr>
                <w:rFonts w:ascii="CorpoS" w:hAnsi="CorpoS"/>
                <w:sz w:val="22"/>
                <w:szCs w:val="22"/>
              </w:rPr>
              <w:t xml:space="preserve"> F&amp;E</w:t>
            </w:r>
          </w:p>
        </w:tc>
        <w:tc>
          <w:tcPr>
            <w:tcW w:w="1388" w:type="dxa"/>
            <w:tcBorders>
              <w:left w:val="single" w:sz="4" w:space="0" w:color="auto"/>
              <w:bottom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17</w:t>
            </w:r>
          </w:p>
        </w:tc>
        <w:tc>
          <w:tcPr>
            <w:tcW w:w="1134" w:type="dxa"/>
            <w:tcBorders>
              <w:left w:val="single" w:sz="4" w:space="0" w:color="auto"/>
              <w:bottom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18</w:t>
            </w:r>
          </w:p>
        </w:tc>
        <w:tc>
          <w:tcPr>
            <w:tcW w:w="1276" w:type="dxa"/>
            <w:tcBorders>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34</w:t>
            </w:r>
          </w:p>
        </w:tc>
        <w:tc>
          <w:tcPr>
            <w:tcW w:w="1276" w:type="dxa"/>
            <w:tcBorders>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39</w:t>
            </w:r>
          </w:p>
        </w:tc>
        <w:tc>
          <w:tcPr>
            <w:tcW w:w="1418" w:type="dxa"/>
            <w:tcBorders>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+ 14 %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lang w:val="de-DE"/>
              </w:rPr>
            </w:pPr>
            <w:r w:rsidRPr="003C0155">
              <w:rPr>
                <w:rFonts w:ascii="CorpoS" w:hAnsi="CorpoS"/>
                <w:i/>
                <w:sz w:val="22"/>
                <w:szCs w:val="22"/>
                <w:lang w:val="de-DE"/>
              </w:rPr>
              <w:t>eigenfinanzierter F&amp;E-Aufwand gemäß GuV</w:t>
            </w:r>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23</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28</w:t>
            </w:r>
          </w:p>
        </w:tc>
        <w:tc>
          <w:tcPr>
            <w:tcW w:w="1276" w:type="dxa"/>
            <w:tcBorders>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47</w:t>
            </w:r>
          </w:p>
        </w:tc>
        <w:tc>
          <w:tcPr>
            <w:tcW w:w="1276" w:type="dxa"/>
            <w:tcBorders>
              <w:bottom w:val="single" w:sz="4"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54</w:t>
            </w:r>
          </w:p>
        </w:tc>
        <w:tc>
          <w:tcPr>
            <w:tcW w:w="1418" w:type="dxa"/>
            <w:tcBorders>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i/>
                <w:iCs/>
                <w:sz w:val="22"/>
                <w:szCs w:val="22"/>
              </w:rPr>
            </w:pPr>
            <w:r>
              <w:rPr>
                <w:rFonts w:ascii="CorpoS" w:hAnsi="CorpoS" w:cs="Arial"/>
                <w:i/>
                <w:iCs/>
                <w:sz w:val="22"/>
                <w:szCs w:val="22"/>
              </w:rPr>
              <w:t>+ 14 %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sz w:val="22"/>
                <w:szCs w:val="22"/>
              </w:rPr>
            </w:pPr>
            <w:proofErr w:type="spellStart"/>
            <w:r>
              <w:rPr>
                <w:rFonts w:ascii="CorpoS" w:hAnsi="CorpoS"/>
                <w:sz w:val="22"/>
                <w:szCs w:val="22"/>
              </w:rPr>
              <w:t>Netto-Auszahlungen</w:t>
            </w:r>
            <w:proofErr w:type="spellEnd"/>
            <w:r w:rsidRPr="003C0155">
              <w:rPr>
                <w:rFonts w:ascii="CorpoS" w:hAnsi="CorpoS"/>
                <w:sz w:val="22"/>
                <w:szCs w:val="22"/>
              </w:rPr>
              <w:t xml:space="preserve"> in </w:t>
            </w:r>
            <w:proofErr w:type="spellStart"/>
            <w:r w:rsidRPr="003C0155">
              <w:rPr>
                <w:rFonts w:ascii="CorpoS" w:hAnsi="CorpoS"/>
                <w:sz w:val="22"/>
                <w:szCs w:val="22"/>
              </w:rPr>
              <w:t>Sachanlagen</w:t>
            </w:r>
            <w:proofErr w:type="spellEnd"/>
          </w:p>
        </w:tc>
        <w:tc>
          <w:tcPr>
            <w:tcW w:w="1388" w:type="dxa"/>
            <w:tcBorders>
              <w:left w:val="single" w:sz="4" w:space="0" w:color="auto"/>
              <w:right w:val="single" w:sz="4"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54</w:t>
            </w:r>
          </w:p>
        </w:tc>
        <w:tc>
          <w:tcPr>
            <w:tcW w:w="1134" w:type="dxa"/>
            <w:tcBorders>
              <w:left w:val="single" w:sz="4" w:space="0" w:color="auto"/>
              <w:right w:val="single" w:sz="18" w:space="0" w:color="auto"/>
            </w:tcBorders>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50</w:t>
            </w:r>
          </w:p>
        </w:tc>
        <w:tc>
          <w:tcPr>
            <w:tcW w:w="1276" w:type="dxa"/>
            <w:tcBorders>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91</w:t>
            </w:r>
          </w:p>
        </w:tc>
        <w:tc>
          <w:tcPr>
            <w:tcW w:w="1276" w:type="dxa"/>
            <w:tcBorders>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112</w:t>
            </w:r>
          </w:p>
        </w:tc>
        <w:tc>
          <w:tcPr>
            <w:tcW w:w="1418" w:type="dxa"/>
            <w:tcBorders>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+ 23 %</w:t>
            </w:r>
          </w:p>
        </w:tc>
      </w:tr>
      <w:tr w:rsidR="00BE22C8" w:rsidRPr="003C0155" w:rsidTr="00972943">
        <w:trPr>
          <w:trHeight w:val="81"/>
        </w:trPr>
        <w:tc>
          <w:tcPr>
            <w:tcW w:w="6237" w:type="dxa"/>
            <w:gridSpan w:val="3"/>
            <w:tcBorders>
              <w:right w:val="single" w:sz="18" w:space="0" w:color="auto"/>
            </w:tcBorders>
            <w:shd w:val="clear" w:color="auto" w:fill="auto"/>
          </w:tcPr>
          <w:p w:rsidR="00BE22C8" w:rsidRPr="003C0155" w:rsidRDefault="00BE22C8" w:rsidP="00972943">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BE22C8" w:rsidRPr="003C0155" w:rsidRDefault="00BE22C8" w:rsidP="00972943">
            <w:pPr>
              <w:ind w:right="33"/>
              <w:jc w:val="right"/>
              <w:rPr>
                <w:rFonts w:ascii="CorpoS" w:hAnsi="CorpoS"/>
                <w:b/>
                <w:sz w:val="8"/>
                <w:szCs w:val="8"/>
              </w:rPr>
            </w:pPr>
          </w:p>
        </w:tc>
      </w:tr>
      <w:tr w:rsidR="00BE22C8" w:rsidRPr="003C0155" w:rsidTr="00704EE8">
        <w:tc>
          <w:tcPr>
            <w:tcW w:w="3715" w:type="dxa"/>
            <w:tcBorders>
              <w:right w:val="single" w:sz="4" w:space="0" w:color="auto"/>
            </w:tcBorders>
            <w:shd w:val="clear" w:color="auto" w:fill="auto"/>
          </w:tcPr>
          <w:p w:rsidR="00BE22C8" w:rsidRPr="003C0155" w:rsidRDefault="00BE22C8" w:rsidP="00972943">
            <w:pPr>
              <w:rPr>
                <w:rFonts w:ascii="CorpoS" w:hAnsi="CorpoS"/>
                <w:sz w:val="22"/>
                <w:szCs w:val="22"/>
              </w:rPr>
            </w:pPr>
          </w:p>
        </w:tc>
        <w:tc>
          <w:tcPr>
            <w:tcW w:w="1388" w:type="dxa"/>
            <w:tcBorders>
              <w:left w:val="single" w:sz="4" w:space="0" w:color="auto"/>
              <w:right w:val="single" w:sz="4" w:space="0" w:color="auto"/>
            </w:tcBorders>
          </w:tcPr>
          <w:p w:rsidR="00BE22C8" w:rsidRPr="003C0155" w:rsidRDefault="00BE22C8" w:rsidP="00972943">
            <w:pPr>
              <w:jc w:val="right"/>
              <w:rPr>
                <w:rFonts w:ascii="CorpoS" w:hAnsi="CorpoS"/>
                <w:b/>
                <w:sz w:val="22"/>
                <w:szCs w:val="22"/>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BE22C8" w:rsidRPr="003C0155" w:rsidRDefault="00BE22C8" w:rsidP="00F31A55">
            <w:pPr>
              <w:jc w:val="right"/>
              <w:rPr>
                <w:rFonts w:ascii="CorpoS" w:hAnsi="CorpoS"/>
                <w:b/>
                <w:sz w:val="22"/>
                <w:szCs w:val="22"/>
              </w:rPr>
            </w:pPr>
            <w:r w:rsidRPr="003C0155">
              <w:rPr>
                <w:rFonts w:ascii="CorpoS" w:hAnsi="CorpoS"/>
                <w:b/>
                <w:sz w:val="22"/>
                <w:szCs w:val="22"/>
              </w:rPr>
              <w:t xml:space="preserve">31. </w:t>
            </w:r>
            <w:proofErr w:type="spellStart"/>
            <w:r w:rsidRPr="003C0155">
              <w:rPr>
                <w:rFonts w:ascii="CorpoS" w:hAnsi="CorpoS"/>
                <w:b/>
                <w:sz w:val="22"/>
                <w:szCs w:val="22"/>
              </w:rPr>
              <w:t>Dez</w:t>
            </w:r>
            <w:proofErr w:type="spellEnd"/>
            <w:r w:rsidRPr="003C0155">
              <w:rPr>
                <w:rFonts w:ascii="CorpoS" w:hAnsi="CorpoS"/>
                <w:b/>
                <w:sz w:val="22"/>
                <w:szCs w:val="22"/>
              </w:rPr>
              <w:t>. 20</w:t>
            </w:r>
            <w:r w:rsidR="0083006E">
              <w:rPr>
                <w:rFonts w:ascii="CorpoS" w:hAnsi="CorpoS"/>
                <w:b/>
                <w:sz w:val="22"/>
                <w:szCs w:val="22"/>
              </w:rPr>
              <w:t>2</w:t>
            </w:r>
            <w:r w:rsidR="00F31A55">
              <w:rPr>
                <w:rFonts w:ascii="CorpoS" w:hAnsi="CorpoS"/>
                <w:b/>
                <w:sz w:val="22"/>
                <w:szCs w:val="22"/>
              </w:rPr>
              <w:t>2</w:t>
            </w:r>
          </w:p>
        </w:tc>
        <w:tc>
          <w:tcPr>
            <w:tcW w:w="1276" w:type="dxa"/>
            <w:tcBorders>
              <w:bottom w:val="single" w:sz="4" w:space="0" w:color="auto"/>
            </w:tcBorders>
            <w:shd w:val="clear" w:color="auto" w:fill="auto"/>
          </w:tcPr>
          <w:p w:rsidR="00BE22C8" w:rsidRPr="003C0155" w:rsidRDefault="00BE22C8" w:rsidP="00F31A55">
            <w:pPr>
              <w:jc w:val="right"/>
              <w:rPr>
                <w:rFonts w:ascii="CorpoS" w:hAnsi="CorpoS"/>
                <w:b/>
                <w:sz w:val="22"/>
                <w:szCs w:val="22"/>
                <w:lang w:val="de-DE"/>
              </w:rPr>
            </w:pPr>
            <w:r w:rsidRPr="003C0155">
              <w:rPr>
                <w:rFonts w:ascii="CorpoS" w:hAnsi="CorpoS"/>
                <w:b/>
                <w:sz w:val="22"/>
                <w:szCs w:val="22"/>
                <w:lang w:val="de-DE"/>
              </w:rPr>
              <w:t>30.</w:t>
            </w:r>
            <w:r w:rsidR="00B26434" w:rsidRPr="003C0155">
              <w:rPr>
                <w:rFonts w:ascii="CorpoS" w:hAnsi="CorpoS"/>
                <w:b/>
                <w:sz w:val="22"/>
                <w:szCs w:val="22"/>
                <w:lang w:val="de-DE"/>
              </w:rPr>
              <w:t xml:space="preserve"> </w:t>
            </w:r>
            <w:r w:rsidRPr="003C0155">
              <w:rPr>
                <w:rFonts w:ascii="CorpoS" w:hAnsi="CorpoS"/>
                <w:b/>
                <w:sz w:val="22"/>
                <w:szCs w:val="22"/>
                <w:lang w:val="de-DE"/>
              </w:rPr>
              <w:t>Juni 20</w:t>
            </w:r>
            <w:r w:rsidR="00532E25">
              <w:rPr>
                <w:rFonts w:ascii="CorpoS" w:hAnsi="CorpoS"/>
                <w:b/>
                <w:sz w:val="22"/>
                <w:szCs w:val="22"/>
                <w:lang w:val="de-DE"/>
              </w:rPr>
              <w:t>2</w:t>
            </w:r>
            <w:r w:rsidR="00F31A55">
              <w:rPr>
                <w:rFonts w:ascii="CorpoS" w:hAnsi="CorpoS"/>
                <w:b/>
                <w:sz w:val="22"/>
                <w:szCs w:val="22"/>
                <w:lang w:val="de-DE"/>
              </w:rPr>
              <w:t>3</w:t>
            </w:r>
          </w:p>
        </w:tc>
        <w:tc>
          <w:tcPr>
            <w:tcW w:w="1418" w:type="dxa"/>
            <w:tcBorders>
              <w:bottom w:val="single" w:sz="4" w:space="0" w:color="auto"/>
              <w:right w:val="single" w:sz="18" w:space="0" w:color="auto"/>
            </w:tcBorders>
            <w:shd w:val="clear" w:color="auto" w:fill="auto"/>
          </w:tcPr>
          <w:p w:rsidR="00BE22C8" w:rsidRPr="003C0155" w:rsidRDefault="00BE22C8" w:rsidP="00972943">
            <w:pPr>
              <w:ind w:right="33"/>
              <w:rPr>
                <w:rFonts w:ascii="CorpoS" w:hAnsi="CorpoS"/>
                <w:b/>
                <w:sz w:val="22"/>
                <w:szCs w:val="22"/>
                <w:lang w:val="de-DE"/>
              </w:rPr>
            </w:pPr>
            <w:proofErr w:type="spellStart"/>
            <w:r w:rsidRPr="003C0155">
              <w:rPr>
                <w:rFonts w:ascii="CorpoS" w:hAnsi="CorpoS"/>
                <w:b/>
                <w:sz w:val="22"/>
                <w:szCs w:val="22"/>
                <w:lang w:val="de-DE"/>
              </w:rPr>
              <w:t>Verände-rung</w:t>
            </w:r>
            <w:proofErr w:type="spellEnd"/>
          </w:p>
        </w:tc>
      </w:tr>
      <w:tr w:rsidR="00BE22C8" w:rsidRPr="003C0155" w:rsidTr="00704EE8">
        <w:tc>
          <w:tcPr>
            <w:tcW w:w="3715" w:type="dxa"/>
            <w:tcBorders>
              <w:right w:val="single" w:sz="4" w:space="0" w:color="auto"/>
            </w:tcBorders>
            <w:shd w:val="clear" w:color="auto" w:fill="auto"/>
          </w:tcPr>
          <w:p w:rsidR="00BE22C8" w:rsidRPr="003C0155" w:rsidRDefault="00BE22C8" w:rsidP="00972943">
            <w:pPr>
              <w:rPr>
                <w:rFonts w:ascii="CorpoS" w:hAnsi="CorpoS"/>
                <w:b/>
                <w:sz w:val="22"/>
                <w:szCs w:val="22"/>
                <w:lang w:val="de-DE"/>
              </w:rPr>
            </w:pPr>
            <w:r w:rsidRPr="003C0155">
              <w:rPr>
                <w:rFonts w:ascii="CorpoS" w:hAnsi="CorpoS"/>
                <w:b/>
                <w:sz w:val="22"/>
                <w:szCs w:val="22"/>
                <w:lang w:val="de-DE"/>
              </w:rPr>
              <w:t>Bilanz-Kennzahlen</w:t>
            </w:r>
          </w:p>
        </w:tc>
        <w:tc>
          <w:tcPr>
            <w:tcW w:w="1388" w:type="dxa"/>
            <w:tcBorders>
              <w:left w:val="single" w:sz="4" w:space="0" w:color="auto"/>
              <w:right w:val="single" w:sz="4" w:space="0" w:color="auto"/>
            </w:tcBorders>
          </w:tcPr>
          <w:p w:rsidR="00BE22C8" w:rsidRPr="003C0155" w:rsidRDefault="00BE22C8" w:rsidP="00972943">
            <w:pPr>
              <w:jc w:val="right"/>
              <w:rPr>
                <w:rFonts w:ascii="CorpoS" w:hAnsi="CorpoS"/>
                <w:sz w:val="22"/>
                <w:szCs w:val="22"/>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BE22C8" w:rsidRPr="003C0155" w:rsidRDefault="00BE22C8" w:rsidP="00972943">
            <w:pPr>
              <w:ind w:right="33"/>
              <w:jc w:val="right"/>
              <w:rPr>
                <w:rFonts w:ascii="CorpoS" w:hAnsi="CorpoS"/>
                <w:sz w:val="22"/>
                <w:szCs w:val="22"/>
                <w:lang w:val="de-DE"/>
              </w:rPr>
            </w:pP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ind w:firstLine="176"/>
              <w:rPr>
                <w:rFonts w:ascii="CorpoS" w:hAnsi="CorpoS"/>
                <w:sz w:val="22"/>
                <w:szCs w:val="22"/>
                <w:lang w:val="de-DE"/>
              </w:rPr>
            </w:pPr>
            <w:r w:rsidRPr="003C0155">
              <w:rPr>
                <w:rFonts w:ascii="CorpoS" w:hAnsi="CorpoS"/>
                <w:sz w:val="22"/>
                <w:szCs w:val="22"/>
                <w:lang w:val="de-DE"/>
              </w:rPr>
              <w:t>Immaterielle Vermögenswerte</w:t>
            </w:r>
          </w:p>
        </w:tc>
        <w:tc>
          <w:tcPr>
            <w:tcW w:w="1388" w:type="dxa"/>
            <w:tcBorders>
              <w:left w:val="single" w:sz="4" w:space="0" w:color="auto"/>
              <w:right w:val="single" w:sz="4" w:space="0" w:color="auto"/>
            </w:tcBorders>
          </w:tcPr>
          <w:p w:rsidR="00604690" w:rsidRPr="003C0155" w:rsidRDefault="00604690" w:rsidP="00604690">
            <w:pPr>
              <w:jc w:val="right"/>
              <w:rPr>
                <w:rFonts w:ascii="CorpoS" w:hAnsi="CorpoS"/>
                <w:sz w:val="22"/>
                <w:szCs w:val="22"/>
                <w:lang w:val="de-DE"/>
              </w:rPr>
            </w:pPr>
          </w:p>
        </w:tc>
        <w:tc>
          <w:tcPr>
            <w:tcW w:w="1134" w:type="dxa"/>
            <w:tcBorders>
              <w:left w:val="single" w:sz="4" w:space="0" w:color="auto"/>
              <w:right w:val="single" w:sz="18" w:space="0" w:color="auto"/>
            </w:tcBorders>
          </w:tcPr>
          <w:p w:rsidR="00604690" w:rsidRPr="003C0155" w:rsidRDefault="00604690" w:rsidP="006046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lang w:val="de-DE" w:eastAsia="zh-CN"/>
              </w:rPr>
            </w:pPr>
            <w:r>
              <w:rPr>
                <w:rFonts w:ascii="CorpoS" w:hAnsi="CorpoS" w:cs="Arial"/>
                <w:sz w:val="22"/>
                <w:szCs w:val="22"/>
              </w:rPr>
              <w:t>1.151</w:t>
            </w:r>
          </w:p>
        </w:tc>
        <w:tc>
          <w:tcPr>
            <w:tcW w:w="1276" w:type="dxa"/>
            <w:tcBorders>
              <w:top w:val="single" w:sz="4"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1.154</w:t>
            </w:r>
          </w:p>
        </w:tc>
        <w:tc>
          <w:tcPr>
            <w:tcW w:w="1418" w:type="dxa"/>
            <w:tcBorders>
              <w:top w:val="single" w:sz="4" w:space="0" w:color="auto"/>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+ 0 %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ind w:left="176"/>
              <w:rPr>
                <w:rFonts w:ascii="CorpoS" w:hAnsi="CorpoS"/>
                <w:sz w:val="22"/>
                <w:szCs w:val="22"/>
                <w:lang w:val="de-DE"/>
              </w:rPr>
            </w:pPr>
            <w:r w:rsidRPr="003C0155">
              <w:rPr>
                <w:rFonts w:ascii="CorpoS" w:hAnsi="CorpoS"/>
                <w:sz w:val="22"/>
                <w:szCs w:val="22"/>
                <w:lang w:val="de-DE"/>
              </w:rPr>
              <w:t>Zahlungsmittel und Zahlungsmittel-äquivalente</w:t>
            </w:r>
          </w:p>
        </w:tc>
        <w:tc>
          <w:tcPr>
            <w:tcW w:w="1388" w:type="dxa"/>
            <w:tcBorders>
              <w:left w:val="single" w:sz="4" w:space="0" w:color="auto"/>
              <w:right w:val="single" w:sz="4" w:space="0" w:color="auto"/>
            </w:tcBorders>
          </w:tcPr>
          <w:p w:rsidR="00604690" w:rsidRPr="003C0155" w:rsidRDefault="00604690" w:rsidP="00604690">
            <w:pPr>
              <w:jc w:val="right"/>
              <w:rPr>
                <w:rFonts w:ascii="CorpoS" w:hAnsi="CorpoS"/>
                <w:sz w:val="22"/>
                <w:szCs w:val="22"/>
                <w:lang w:val="de-DE"/>
              </w:rPr>
            </w:pPr>
          </w:p>
        </w:tc>
        <w:tc>
          <w:tcPr>
            <w:tcW w:w="1134" w:type="dxa"/>
            <w:tcBorders>
              <w:left w:val="single" w:sz="4" w:space="0" w:color="auto"/>
              <w:right w:val="single" w:sz="18" w:space="0" w:color="auto"/>
            </w:tcBorders>
          </w:tcPr>
          <w:p w:rsidR="00604690" w:rsidRPr="003C0155" w:rsidRDefault="00604690" w:rsidP="006046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823</w:t>
            </w:r>
          </w:p>
        </w:tc>
        <w:tc>
          <w:tcPr>
            <w:tcW w:w="1276" w:type="dxa"/>
            <w:tcBorders>
              <w:top w:val="single" w:sz="4"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771</w:t>
            </w:r>
          </w:p>
        </w:tc>
        <w:tc>
          <w:tcPr>
            <w:tcW w:w="1418" w:type="dxa"/>
            <w:tcBorders>
              <w:top w:val="single" w:sz="4" w:space="0" w:color="auto"/>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- 6 %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ind w:left="176"/>
              <w:rPr>
                <w:rFonts w:ascii="CorpoS" w:hAnsi="CorpoS"/>
                <w:sz w:val="22"/>
                <w:szCs w:val="22"/>
                <w:lang w:val="de-DE"/>
              </w:rPr>
            </w:pPr>
            <w:r w:rsidRPr="003C0155">
              <w:rPr>
                <w:rFonts w:ascii="CorpoS" w:hAnsi="CorpoS"/>
                <w:sz w:val="22"/>
                <w:szCs w:val="22"/>
                <w:lang w:val="de-DE"/>
              </w:rPr>
              <w:t>Rückstellungen für Pensionen</w:t>
            </w:r>
          </w:p>
        </w:tc>
        <w:tc>
          <w:tcPr>
            <w:tcW w:w="1388" w:type="dxa"/>
            <w:tcBorders>
              <w:left w:val="single" w:sz="4" w:space="0" w:color="auto"/>
              <w:right w:val="single" w:sz="4" w:space="0" w:color="auto"/>
            </w:tcBorders>
          </w:tcPr>
          <w:p w:rsidR="00604690" w:rsidRPr="003C0155" w:rsidRDefault="00604690" w:rsidP="00604690">
            <w:pPr>
              <w:jc w:val="right"/>
              <w:rPr>
                <w:rFonts w:ascii="CorpoS" w:hAnsi="CorpoS"/>
                <w:sz w:val="22"/>
                <w:szCs w:val="22"/>
                <w:lang w:val="de-DE"/>
              </w:rPr>
            </w:pPr>
          </w:p>
        </w:tc>
        <w:tc>
          <w:tcPr>
            <w:tcW w:w="1134" w:type="dxa"/>
            <w:tcBorders>
              <w:left w:val="single" w:sz="4" w:space="0" w:color="auto"/>
              <w:right w:val="single" w:sz="18" w:space="0" w:color="auto"/>
            </w:tcBorders>
          </w:tcPr>
          <w:p w:rsidR="00604690" w:rsidRPr="003C0155" w:rsidRDefault="00604690" w:rsidP="006046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707</w:t>
            </w:r>
          </w:p>
        </w:tc>
        <w:tc>
          <w:tcPr>
            <w:tcW w:w="1276" w:type="dxa"/>
            <w:tcBorders>
              <w:top w:val="single" w:sz="4"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721</w:t>
            </w:r>
          </w:p>
        </w:tc>
        <w:tc>
          <w:tcPr>
            <w:tcW w:w="1418" w:type="dxa"/>
            <w:tcBorders>
              <w:top w:val="single" w:sz="4" w:space="0" w:color="auto"/>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+ 2 %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ind w:left="176"/>
              <w:rPr>
                <w:rFonts w:ascii="CorpoS" w:hAnsi="CorpoS"/>
                <w:sz w:val="22"/>
                <w:szCs w:val="22"/>
                <w:lang w:val="de-DE"/>
              </w:rPr>
            </w:pPr>
            <w:r w:rsidRPr="003C0155">
              <w:rPr>
                <w:rFonts w:ascii="CorpoS" w:hAnsi="CorpoS"/>
                <w:sz w:val="22"/>
                <w:szCs w:val="22"/>
                <w:lang w:val="de-DE"/>
              </w:rPr>
              <w:t>Eigenkapital</w:t>
            </w:r>
          </w:p>
        </w:tc>
        <w:tc>
          <w:tcPr>
            <w:tcW w:w="1388" w:type="dxa"/>
            <w:tcBorders>
              <w:left w:val="single" w:sz="4" w:space="0" w:color="auto"/>
              <w:right w:val="single" w:sz="4" w:space="0" w:color="auto"/>
            </w:tcBorders>
          </w:tcPr>
          <w:p w:rsidR="00604690" w:rsidRPr="003C0155" w:rsidRDefault="00604690" w:rsidP="00604690">
            <w:pPr>
              <w:jc w:val="right"/>
              <w:rPr>
                <w:rFonts w:ascii="CorpoS" w:hAnsi="CorpoS"/>
                <w:sz w:val="22"/>
                <w:szCs w:val="22"/>
                <w:lang w:val="de-DE"/>
              </w:rPr>
            </w:pPr>
          </w:p>
        </w:tc>
        <w:tc>
          <w:tcPr>
            <w:tcW w:w="1134" w:type="dxa"/>
            <w:tcBorders>
              <w:left w:val="single" w:sz="4" w:space="0" w:color="auto"/>
              <w:right w:val="single" w:sz="18" w:space="0" w:color="auto"/>
            </w:tcBorders>
          </w:tcPr>
          <w:p w:rsidR="00604690" w:rsidRPr="003C0155" w:rsidRDefault="00604690" w:rsidP="006046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3.107</w:t>
            </w:r>
          </w:p>
        </w:tc>
        <w:tc>
          <w:tcPr>
            <w:tcW w:w="1276" w:type="dxa"/>
            <w:tcBorders>
              <w:top w:val="single" w:sz="4"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3.268</w:t>
            </w:r>
          </w:p>
        </w:tc>
        <w:tc>
          <w:tcPr>
            <w:tcW w:w="1418" w:type="dxa"/>
            <w:tcBorders>
              <w:top w:val="single" w:sz="4" w:space="0" w:color="auto"/>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+ 5 %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ind w:left="176"/>
              <w:rPr>
                <w:rFonts w:ascii="CorpoS" w:hAnsi="CorpoS"/>
                <w:sz w:val="22"/>
                <w:szCs w:val="22"/>
                <w:lang w:val="de-DE"/>
              </w:rPr>
            </w:pPr>
            <w:r w:rsidRPr="003C0155">
              <w:rPr>
                <w:rFonts w:ascii="CorpoS" w:hAnsi="CorpoS"/>
                <w:sz w:val="22"/>
                <w:szCs w:val="22"/>
                <w:lang w:val="de-DE"/>
              </w:rPr>
              <w:t>Netto-Finanzverschuldung</w:t>
            </w:r>
          </w:p>
        </w:tc>
        <w:tc>
          <w:tcPr>
            <w:tcW w:w="1388" w:type="dxa"/>
            <w:tcBorders>
              <w:left w:val="single" w:sz="4" w:space="0" w:color="auto"/>
              <w:right w:val="single" w:sz="4" w:space="0" w:color="auto"/>
            </w:tcBorders>
          </w:tcPr>
          <w:p w:rsidR="00604690" w:rsidRPr="003C0155" w:rsidRDefault="00604690" w:rsidP="00604690">
            <w:pPr>
              <w:jc w:val="right"/>
              <w:rPr>
                <w:rFonts w:ascii="CorpoS" w:hAnsi="CorpoS"/>
                <w:sz w:val="22"/>
                <w:szCs w:val="22"/>
                <w:lang w:val="de-DE"/>
              </w:rPr>
            </w:pPr>
          </w:p>
        </w:tc>
        <w:tc>
          <w:tcPr>
            <w:tcW w:w="1134" w:type="dxa"/>
            <w:tcBorders>
              <w:left w:val="single" w:sz="4" w:space="0" w:color="auto"/>
              <w:right w:val="single" w:sz="18" w:space="0" w:color="auto"/>
            </w:tcBorders>
          </w:tcPr>
          <w:p w:rsidR="00604690" w:rsidRPr="003C0155" w:rsidRDefault="00604690" w:rsidP="006046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753</w:t>
            </w:r>
          </w:p>
        </w:tc>
        <w:tc>
          <w:tcPr>
            <w:tcW w:w="1276" w:type="dxa"/>
            <w:tcBorders>
              <w:top w:val="single" w:sz="4"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777</w:t>
            </w:r>
          </w:p>
        </w:tc>
        <w:tc>
          <w:tcPr>
            <w:tcW w:w="1418" w:type="dxa"/>
            <w:tcBorders>
              <w:top w:val="single" w:sz="4" w:space="0" w:color="auto"/>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+ 3 %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ind w:left="176"/>
              <w:rPr>
                <w:rFonts w:ascii="CorpoS" w:hAnsi="CorpoS"/>
                <w:sz w:val="22"/>
                <w:szCs w:val="22"/>
                <w:lang w:val="de-DE"/>
              </w:rPr>
            </w:pPr>
            <w:r w:rsidRPr="003C0155">
              <w:rPr>
                <w:rFonts w:ascii="CorpoS" w:hAnsi="CorpoS"/>
                <w:sz w:val="22"/>
                <w:szCs w:val="22"/>
                <w:lang w:val="de-DE"/>
              </w:rPr>
              <w:t>Bilanzsumme</w:t>
            </w:r>
          </w:p>
        </w:tc>
        <w:tc>
          <w:tcPr>
            <w:tcW w:w="1388" w:type="dxa"/>
            <w:tcBorders>
              <w:left w:val="single" w:sz="4" w:space="0" w:color="auto"/>
              <w:right w:val="single" w:sz="4" w:space="0" w:color="auto"/>
            </w:tcBorders>
          </w:tcPr>
          <w:p w:rsidR="00604690" w:rsidRPr="003C0155" w:rsidRDefault="00604690" w:rsidP="00604690">
            <w:pPr>
              <w:jc w:val="right"/>
              <w:rPr>
                <w:rFonts w:ascii="CorpoS" w:hAnsi="CorpoS"/>
                <w:sz w:val="22"/>
                <w:szCs w:val="22"/>
                <w:lang w:val="de-DE"/>
              </w:rPr>
            </w:pPr>
          </w:p>
        </w:tc>
        <w:tc>
          <w:tcPr>
            <w:tcW w:w="1134" w:type="dxa"/>
            <w:tcBorders>
              <w:left w:val="single" w:sz="4" w:space="0" w:color="auto"/>
              <w:right w:val="single" w:sz="18" w:space="0" w:color="auto"/>
            </w:tcBorders>
          </w:tcPr>
          <w:p w:rsidR="00604690" w:rsidRPr="003C0155" w:rsidRDefault="00604690" w:rsidP="006046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9.230</w:t>
            </w:r>
          </w:p>
        </w:tc>
        <w:tc>
          <w:tcPr>
            <w:tcW w:w="1276" w:type="dxa"/>
            <w:tcBorders>
              <w:top w:val="single" w:sz="4"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9.280</w:t>
            </w:r>
          </w:p>
        </w:tc>
        <w:tc>
          <w:tcPr>
            <w:tcW w:w="1418" w:type="dxa"/>
            <w:tcBorders>
              <w:top w:val="single" w:sz="4" w:space="0" w:color="auto"/>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+ 1 %</w:t>
            </w:r>
          </w:p>
        </w:tc>
      </w:tr>
      <w:tr w:rsidR="00BE22C8" w:rsidRPr="003C0155" w:rsidTr="00704EE8">
        <w:trPr>
          <w:trHeight w:val="50"/>
        </w:trPr>
        <w:tc>
          <w:tcPr>
            <w:tcW w:w="3715" w:type="dxa"/>
            <w:tcBorders>
              <w:right w:val="single" w:sz="4" w:space="0" w:color="auto"/>
            </w:tcBorders>
            <w:shd w:val="clear" w:color="auto" w:fill="auto"/>
          </w:tcPr>
          <w:p w:rsidR="00BE22C8" w:rsidRPr="003C0155" w:rsidRDefault="00BE22C8" w:rsidP="00972943">
            <w:pPr>
              <w:rPr>
                <w:rFonts w:ascii="CorpoS" w:hAnsi="CorpoS"/>
                <w:sz w:val="8"/>
                <w:szCs w:val="8"/>
                <w:lang w:val="de-DE"/>
              </w:rPr>
            </w:pPr>
          </w:p>
        </w:tc>
        <w:tc>
          <w:tcPr>
            <w:tcW w:w="1388" w:type="dxa"/>
            <w:tcBorders>
              <w:left w:val="single" w:sz="4" w:space="0" w:color="auto"/>
              <w:right w:val="single" w:sz="4" w:space="0" w:color="auto"/>
            </w:tcBorders>
          </w:tcPr>
          <w:p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E22C8" w:rsidRPr="00F31A55" w:rsidRDefault="00BE22C8" w:rsidP="00972943">
            <w:pPr>
              <w:ind w:firstLineChars="100" w:firstLine="80"/>
              <w:jc w:val="right"/>
              <w:rPr>
                <w:rFonts w:ascii="CorpoS" w:hAnsi="CorpoS" w:cs="Arial"/>
                <w:color w:val="FF0000"/>
                <w:sz w:val="8"/>
                <w:szCs w:val="8"/>
              </w:rPr>
            </w:pPr>
          </w:p>
        </w:tc>
        <w:tc>
          <w:tcPr>
            <w:tcW w:w="1276" w:type="dxa"/>
            <w:tcBorders>
              <w:top w:val="single" w:sz="4" w:space="0" w:color="auto"/>
              <w:bottom w:val="single" w:sz="4" w:space="0" w:color="auto"/>
            </w:tcBorders>
            <w:shd w:val="clear" w:color="auto" w:fill="auto"/>
            <w:vAlign w:val="center"/>
          </w:tcPr>
          <w:p w:rsidR="00BE22C8" w:rsidRPr="00F31A55" w:rsidRDefault="00BE22C8" w:rsidP="00972943">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BE22C8" w:rsidRPr="00F31A55" w:rsidRDefault="00247F95" w:rsidP="00972943">
            <w:pPr>
              <w:ind w:firstLineChars="100" w:firstLine="80"/>
              <w:jc w:val="right"/>
              <w:rPr>
                <w:rFonts w:ascii="CorpoS" w:hAnsi="CorpoS" w:cs="Arial"/>
                <w:color w:val="FF0000"/>
                <w:sz w:val="8"/>
                <w:szCs w:val="8"/>
              </w:rPr>
            </w:pPr>
            <w:r w:rsidRPr="00F31A55">
              <w:rPr>
                <w:rFonts w:ascii="CorpoS" w:hAnsi="CorpoS" w:cs="Arial"/>
                <w:color w:val="FF0000"/>
                <w:sz w:val="8"/>
                <w:szCs w:val="8"/>
              </w:rPr>
              <w:t xml:space="preserve"> </w:t>
            </w:r>
            <w:r w:rsidR="00BE7648" w:rsidRPr="00F31A55">
              <w:rPr>
                <w:rFonts w:ascii="CorpoS" w:hAnsi="CorpoS" w:cs="Arial"/>
                <w:color w:val="FF0000"/>
                <w:sz w:val="8"/>
                <w:szCs w:val="8"/>
              </w:rPr>
              <w:t xml:space="preserve"> </w:t>
            </w:r>
            <w:r w:rsidR="00467422" w:rsidRPr="00F31A55">
              <w:rPr>
                <w:rFonts w:ascii="CorpoS" w:hAnsi="CorpoS" w:cs="Arial"/>
                <w:color w:val="FF0000"/>
                <w:sz w:val="8"/>
                <w:szCs w:val="8"/>
              </w:rPr>
              <w:t xml:space="preserve"> </w:t>
            </w:r>
            <w:r w:rsidR="00F73ADA" w:rsidRPr="00F31A55">
              <w:rPr>
                <w:rFonts w:ascii="CorpoS" w:hAnsi="CorpoS" w:cs="Arial"/>
                <w:color w:val="FF0000"/>
                <w:sz w:val="8"/>
                <w:szCs w:val="8"/>
              </w:rPr>
              <w:t xml:space="preserve"> </w:t>
            </w:r>
            <w:r w:rsidR="00AE2178" w:rsidRPr="00F31A55">
              <w:rPr>
                <w:rFonts w:ascii="CorpoS" w:hAnsi="CorpoS" w:cs="Arial"/>
                <w:color w:val="FF0000"/>
                <w:sz w:val="8"/>
                <w:szCs w:val="8"/>
              </w:rPr>
              <w:t xml:space="preserve">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b/>
                <w:sz w:val="22"/>
                <w:szCs w:val="22"/>
                <w:lang w:val="de-DE"/>
              </w:rPr>
            </w:pPr>
            <w:r w:rsidRPr="003C0155">
              <w:rPr>
                <w:rFonts w:ascii="CorpoS" w:hAnsi="CorpoS"/>
                <w:b/>
                <w:sz w:val="22"/>
                <w:szCs w:val="22"/>
                <w:lang w:val="de-DE"/>
              </w:rPr>
              <w:t>Auftragsbestand</w:t>
            </w:r>
          </w:p>
        </w:tc>
        <w:tc>
          <w:tcPr>
            <w:tcW w:w="1388" w:type="dxa"/>
            <w:tcBorders>
              <w:left w:val="single" w:sz="4" w:space="0" w:color="auto"/>
              <w:right w:val="single" w:sz="4" w:space="0" w:color="auto"/>
            </w:tcBorders>
          </w:tcPr>
          <w:p w:rsidR="00604690" w:rsidRPr="003C0155" w:rsidRDefault="00604690" w:rsidP="00604690">
            <w:pPr>
              <w:jc w:val="right"/>
              <w:rPr>
                <w:rFonts w:ascii="CorpoS" w:hAnsi="CorpoS"/>
                <w:sz w:val="22"/>
                <w:szCs w:val="22"/>
                <w:lang w:val="de-DE"/>
              </w:rPr>
            </w:pPr>
          </w:p>
        </w:tc>
        <w:tc>
          <w:tcPr>
            <w:tcW w:w="1134" w:type="dxa"/>
            <w:tcBorders>
              <w:left w:val="single" w:sz="4" w:space="0" w:color="auto"/>
              <w:right w:val="single" w:sz="18" w:space="0" w:color="auto"/>
            </w:tcBorders>
          </w:tcPr>
          <w:p w:rsidR="00604690" w:rsidRPr="003C0155" w:rsidRDefault="00604690" w:rsidP="00604690">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lang w:val="de-DE" w:eastAsia="zh-CN"/>
              </w:rPr>
            </w:pPr>
            <w:r>
              <w:rPr>
                <w:rFonts w:ascii="CorpoS" w:hAnsi="CorpoS" w:cs="Arial"/>
                <w:sz w:val="22"/>
                <w:szCs w:val="22"/>
              </w:rPr>
              <w:t>22.273</w:t>
            </w:r>
          </w:p>
        </w:tc>
        <w:tc>
          <w:tcPr>
            <w:tcW w:w="1276" w:type="dxa"/>
            <w:tcBorders>
              <w:top w:val="single" w:sz="4" w:space="0" w:color="auto"/>
              <w:bottom w:val="single" w:sz="4"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21.923</w:t>
            </w:r>
          </w:p>
        </w:tc>
        <w:tc>
          <w:tcPr>
            <w:tcW w:w="1418" w:type="dxa"/>
            <w:tcBorders>
              <w:top w:val="single" w:sz="4" w:space="0" w:color="auto"/>
              <w:bottom w:val="single" w:sz="4"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- 2 %</w:t>
            </w:r>
          </w:p>
        </w:tc>
      </w:tr>
      <w:tr w:rsidR="00BE22C8" w:rsidRPr="003C0155" w:rsidTr="00704EE8">
        <w:trPr>
          <w:cantSplit/>
          <w:trHeight w:val="20"/>
        </w:trPr>
        <w:tc>
          <w:tcPr>
            <w:tcW w:w="3715" w:type="dxa"/>
            <w:tcBorders>
              <w:right w:val="single" w:sz="4" w:space="0" w:color="auto"/>
            </w:tcBorders>
            <w:shd w:val="clear" w:color="auto" w:fill="auto"/>
          </w:tcPr>
          <w:p w:rsidR="00BE22C8" w:rsidRPr="003C0155" w:rsidRDefault="00BE22C8" w:rsidP="00972943">
            <w:pPr>
              <w:rPr>
                <w:rFonts w:ascii="CorpoS" w:hAnsi="CorpoS"/>
                <w:sz w:val="8"/>
                <w:szCs w:val="8"/>
                <w:lang w:val="de-DE"/>
              </w:rPr>
            </w:pPr>
          </w:p>
        </w:tc>
        <w:tc>
          <w:tcPr>
            <w:tcW w:w="1388" w:type="dxa"/>
            <w:tcBorders>
              <w:left w:val="single" w:sz="4" w:space="0" w:color="auto"/>
              <w:right w:val="single" w:sz="4" w:space="0" w:color="auto"/>
            </w:tcBorders>
          </w:tcPr>
          <w:p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E22C8" w:rsidRPr="00F31A55" w:rsidRDefault="00BE22C8" w:rsidP="00972943">
            <w:pPr>
              <w:ind w:firstLineChars="100" w:firstLine="80"/>
              <w:jc w:val="right"/>
              <w:rPr>
                <w:rFonts w:ascii="CorpoS" w:hAnsi="CorpoS" w:cs="Arial"/>
                <w:color w:val="FF0000"/>
                <w:sz w:val="8"/>
                <w:szCs w:val="8"/>
              </w:rPr>
            </w:pPr>
            <w:r w:rsidRPr="00F31A55">
              <w:rPr>
                <w:rFonts w:ascii="CorpoS" w:hAnsi="CorpoS" w:cs="Arial"/>
                <w:color w:val="FF0000"/>
                <w:sz w:val="8"/>
                <w:szCs w:val="8"/>
              </w:rPr>
              <w:t> </w:t>
            </w:r>
          </w:p>
        </w:tc>
        <w:tc>
          <w:tcPr>
            <w:tcW w:w="1276" w:type="dxa"/>
            <w:tcBorders>
              <w:top w:val="single" w:sz="4" w:space="0" w:color="auto"/>
              <w:bottom w:val="single" w:sz="4" w:space="0" w:color="auto"/>
            </w:tcBorders>
            <w:shd w:val="clear" w:color="auto" w:fill="auto"/>
            <w:vAlign w:val="center"/>
          </w:tcPr>
          <w:p w:rsidR="00BE22C8" w:rsidRPr="00604690" w:rsidRDefault="00BE22C8" w:rsidP="00604690">
            <w:pPr>
              <w:pStyle w:val="Listenabsatz"/>
              <w:numPr>
                <w:ilvl w:val="0"/>
                <w:numId w:val="9"/>
              </w:numPr>
              <w:jc w:val="right"/>
              <w:rPr>
                <w:rFonts w:ascii="CorpoS" w:hAnsi="CorpoS" w:cs="Arial"/>
                <w:color w:val="FF0000"/>
                <w:sz w:val="8"/>
                <w:szCs w:val="8"/>
              </w:rPr>
            </w:pPr>
            <w:r w:rsidRPr="00604690">
              <w:rPr>
                <w:rFonts w:ascii="CorpoS" w:hAnsi="CorpoS" w:cs="Arial"/>
                <w:color w:val="FF0000"/>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BE22C8" w:rsidRPr="00F31A55" w:rsidRDefault="00604690" w:rsidP="00972943">
            <w:pPr>
              <w:ind w:firstLineChars="100" w:firstLine="80"/>
              <w:jc w:val="right"/>
              <w:rPr>
                <w:rFonts w:ascii="CorpoS" w:hAnsi="CorpoS" w:cs="Arial"/>
                <w:color w:val="FF0000"/>
                <w:sz w:val="8"/>
                <w:szCs w:val="8"/>
              </w:rPr>
            </w:pPr>
            <w:r>
              <w:rPr>
                <w:rFonts w:ascii="CorpoS" w:hAnsi="CorpoS" w:cs="Arial"/>
                <w:color w:val="FF0000"/>
                <w:sz w:val="8"/>
                <w:szCs w:val="8"/>
              </w:rPr>
              <w:t xml:space="preserve"> </w:t>
            </w:r>
            <w:r w:rsidR="00650821" w:rsidRPr="00F31A55">
              <w:rPr>
                <w:rFonts w:ascii="CorpoS" w:hAnsi="CorpoS" w:cs="Arial"/>
                <w:color w:val="FF0000"/>
                <w:sz w:val="8"/>
                <w:szCs w:val="8"/>
              </w:rPr>
              <w:t xml:space="preserve"> </w:t>
            </w:r>
            <w:r w:rsidR="00F04444" w:rsidRPr="00F31A55">
              <w:rPr>
                <w:rFonts w:ascii="CorpoS" w:hAnsi="CorpoS" w:cs="Arial"/>
                <w:color w:val="FF0000"/>
                <w:sz w:val="8"/>
                <w:szCs w:val="8"/>
              </w:rPr>
              <w:t xml:space="preserve"> </w:t>
            </w:r>
            <w:r w:rsidR="00BE22C8" w:rsidRPr="00F31A55">
              <w:rPr>
                <w:rFonts w:ascii="CorpoS" w:hAnsi="CorpoS" w:cs="Arial"/>
                <w:color w:val="FF0000"/>
                <w:sz w:val="8"/>
                <w:szCs w:val="8"/>
              </w:rPr>
              <w:t xml:space="preserve">  </w:t>
            </w:r>
          </w:p>
        </w:tc>
      </w:tr>
      <w:tr w:rsidR="00604690" w:rsidRPr="003C0155" w:rsidTr="00704EE8">
        <w:tc>
          <w:tcPr>
            <w:tcW w:w="3715" w:type="dxa"/>
            <w:tcBorders>
              <w:right w:val="single" w:sz="4" w:space="0" w:color="auto"/>
            </w:tcBorders>
            <w:shd w:val="clear" w:color="auto" w:fill="auto"/>
          </w:tcPr>
          <w:p w:rsidR="00604690" w:rsidRPr="003C0155" w:rsidRDefault="00604690" w:rsidP="00604690">
            <w:pPr>
              <w:rPr>
                <w:rFonts w:ascii="CorpoS" w:hAnsi="CorpoS"/>
                <w:b/>
                <w:sz w:val="22"/>
                <w:szCs w:val="22"/>
                <w:lang w:val="de-DE"/>
              </w:rPr>
            </w:pPr>
            <w:proofErr w:type="spellStart"/>
            <w:r w:rsidRPr="003C0155">
              <w:rPr>
                <w:rFonts w:ascii="CorpoS" w:hAnsi="CorpoS"/>
                <w:b/>
                <w:sz w:val="22"/>
                <w:szCs w:val="22"/>
                <w:lang w:val="de-DE"/>
              </w:rPr>
              <w:t>Mitarbeiter</w:t>
            </w:r>
            <w:r>
              <w:rPr>
                <w:rFonts w:ascii="CorpoS" w:hAnsi="CorpoS"/>
                <w:b/>
                <w:sz w:val="22"/>
                <w:szCs w:val="22"/>
                <w:lang w:val="de-DE"/>
              </w:rPr>
              <w:t>:innen</w:t>
            </w:r>
            <w:proofErr w:type="spellEnd"/>
          </w:p>
        </w:tc>
        <w:tc>
          <w:tcPr>
            <w:tcW w:w="1388" w:type="dxa"/>
            <w:tcBorders>
              <w:left w:val="single" w:sz="4" w:space="0" w:color="auto"/>
              <w:right w:val="single" w:sz="4" w:space="0" w:color="auto"/>
            </w:tcBorders>
          </w:tcPr>
          <w:p w:rsidR="00604690" w:rsidRPr="003C0155" w:rsidRDefault="00604690" w:rsidP="00604690">
            <w:pPr>
              <w:jc w:val="right"/>
              <w:rPr>
                <w:rFonts w:ascii="CorpoS" w:hAnsi="CorpoS"/>
                <w:sz w:val="22"/>
                <w:szCs w:val="22"/>
                <w:lang w:val="de-DE"/>
              </w:rPr>
            </w:pPr>
          </w:p>
        </w:tc>
        <w:tc>
          <w:tcPr>
            <w:tcW w:w="1134" w:type="dxa"/>
            <w:tcBorders>
              <w:left w:val="single" w:sz="4" w:space="0" w:color="auto"/>
              <w:right w:val="single" w:sz="18" w:space="0" w:color="auto"/>
            </w:tcBorders>
          </w:tcPr>
          <w:p w:rsidR="00604690" w:rsidRPr="003C0155" w:rsidRDefault="00604690" w:rsidP="00604690">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lang w:val="de-DE" w:eastAsia="zh-CN"/>
              </w:rPr>
            </w:pPr>
            <w:r>
              <w:rPr>
                <w:rFonts w:ascii="CorpoS" w:hAnsi="CorpoS" w:cs="Arial"/>
                <w:sz w:val="22"/>
                <w:szCs w:val="22"/>
              </w:rPr>
              <w:t>11.273</w:t>
            </w:r>
          </w:p>
        </w:tc>
        <w:tc>
          <w:tcPr>
            <w:tcW w:w="1276" w:type="dxa"/>
            <w:tcBorders>
              <w:top w:val="single" w:sz="4" w:space="0" w:color="auto"/>
              <w:bottom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11.823</w:t>
            </w:r>
          </w:p>
        </w:tc>
        <w:tc>
          <w:tcPr>
            <w:tcW w:w="1418" w:type="dxa"/>
            <w:tcBorders>
              <w:top w:val="single" w:sz="4" w:space="0" w:color="auto"/>
              <w:bottom w:val="single" w:sz="18" w:space="0" w:color="auto"/>
              <w:right w:val="single" w:sz="18" w:space="0" w:color="auto"/>
            </w:tcBorders>
            <w:shd w:val="clear" w:color="auto" w:fill="auto"/>
            <w:vAlign w:val="center"/>
          </w:tcPr>
          <w:p w:rsidR="00604690" w:rsidRDefault="00604690" w:rsidP="00604690">
            <w:pPr>
              <w:ind w:firstLineChars="100" w:firstLine="220"/>
              <w:jc w:val="right"/>
              <w:rPr>
                <w:rFonts w:ascii="CorpoS" w:hAnsi="CorpoS" w:cs="Arial"/>
                <w:sz w:val="22"/>
                <w:szCs w:val="22"/>
              </w:rPr>
            </w:pPr>
            <w:r>
              <w:rPr>
                <w:rFonts w:ascii="CorpoS" w:hAnsi="CorpoS" w:cs="Arial"/>
                <w:sz w:val="22"/>
                <w:szCs w:val="22"/>
              </w:rPr>
              <w:t>+ 5 %</w:t>
            </w:r>
          </w:p>
        </w:tc>
      </w:tr>
    </w:tbl>
    <w:p w:rsidR="00392C78" w:rsidRDefault="00392C78" w:rsidP="00572D16">
      <w:pPr>
        <w:ind w:right="1984"/>
        <w:jc w:val="both"/>
        <w:rPr>
          <w:rFonts w:ascii="CorpoS" w:hAnsi="CorpoS"/>
          <w:b/>
          <w:sz w:val="20"/>
          <w:u w:val="single"/>
          <w:lang w:val="de-DE"/>
        </w:rPr>
      </w:pPr>
    </w:p>
    <w:p w:rsidR="001334ED" w:rsidRDefault="001334ED" w:rsidP="00572D16">
      <w:pPr>
        <w:ind w:right="1984"/>
        <w:jc w:val="both"/>
        <w:rPr>
          <w:rFonts w:ascii="CorpoS" w:hAnsi="CorpoS"/>
          <w:b/>
          <w:sz w:val="20"/>
          <w:u w:val="single"/>
          <w:lang w:val="de-DE"/>
        </w:rPr>
      </w:pPr>
    </w:p>
    <w:p w:rsidR="004066E3" w:rsidRDefault="004066E3" w:rsidP="004066E3">
      <w:pPr>
        <w:ind w:right="1984"/>
        <w:jc w:val="both"/>
        <w:rPr>
          <w:rFonts w:ascii="CorpoS" w:hAnsi="CorpoS"/>
          <w:b/>
          <w:sz w:val="20"/>
          <w:u w:val="single"/>
          <w:lang w:val="de-DE"/>
        </w:rPr>
      </w:pPr>
      <w:r w:rsidRPr="00D46B91">
        <w:rPr>
          <w:rFonts w:ascii="CorpoS" w:hAnsi="CorpoS"/>
          <w:b/>
          <w:sz w:val="20"/>
          <w:u w:val="single"/>
          <w:lang w:val="de-DE"/>
        </w:rPr>
        <w:t>Über die MTU Aero Engines</w:t>
      </w:r>
    </w:p>
    <w:p w:rsidR="004066E3" w:rsidRPr="007425D1" w:rsidRDefault="004066E3" w:rsidP="004066E3">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4066E3" w:rsidRPr="007425D1" w:rsidRDefault="004066E3" w:rsidP="004066E3">
      <w:pPr>
        <w:ind w:right="424"/>
        <w:jc w:val="both"/>
        <w:rPr>
          <w:rFonts w:ascii="CorpoS" w:hAnsi="CorpoS" w:cs="Arial"/>
          <w:sz w:val="20"/>
          <w:lang w:val="de-DE"/>
        </w:rPr>
      </w:pPr>
    </w:p>
    <w:p w:rsidR="004066E3" w:rsidRPr="007425D1" w:rsidRDefault="004066E3" w:rsidP="004066E3">
      <w:pPr>
        <w:ind w:right="424"/>
        <w:jc w:val="both"/>
        <w:rPr>
          <w:rFonts w:ascii="CorpoS" w:hAnsi="CorpoS" w:cs="Arial"/>
          <w:sz w:val="20"/>
          <w:lang w:val="de-DE"/>
        </w:rPr>
      </w:pPr>
    </w:p>
    <w:p w:rsidR="004066E3" w:rsidRPr="006166B4" w:rsidRDefault="004066E3" w:rsidP="004066E3">
      <w:pPr>
        <w:rPr>
          <w:rFonts w:ascii="CorpoS" w:hAnsi="CorpoS"/>
          <w:sz w:val="20"/>
          <w:u w:val="single"/>
          <w:lang w:val="de-DE"/>
        </w:rPr>
      </w:pPr>
      <w:r w:rsidRPr="006166B4">
        <w:rPr>
          <w:rFonts w:ascii="CorpoS" w:hAnsi="CorpoS"/>
          <w:sz w:val="20"/>
          <w:u w:val="single"/>
          <w:lang w:val="de-DE"/>
        </w:rPr>
        <w:t>Ihre Ansprechpartner:</w:t>
      </w:r>
    </w:p>
    <w:p w:rsidR="004066E3" w:rsidRPr="006166B4" w:rsidRDefault="004066E3" w:rsidP="004066E3">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rsidR="004066E3" w:rsidRPr="006166B4" w:rsidRDefault="004066E3" w:rsidP="004066E3">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rsidR="004066E3" w:rsidRPr="00E942B3" w:rsidRDefault="004066E3" w:rsidP="004066E3">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rsidR="004066E3" w:rsidRPr="00E942B3" w:rsidRDefault="004066E3" w:rsidP="004066E3">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rsidR="004066E3" w:rsidRPr="006166B4" w:rsidRDefault="004066E3" w:rsidP="004066E3">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rsidR="004066E3" w:rsidRPr="006166B4" w:rsidRDefault="004066E3" w:rsidP="004066E3">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rsidR="004066E3" w:rsidRPr="006166B4" w:rsidRDefault="004066E3" w:rsidP="004066E3">
      <w:pPr>
        <w:rPr>
          <w:rFonts w:ascii="CorpoS" w:hAnsi="CorpoS"/>
          <w:szCs w:val="24"/>
          <w:u w:val="single"/>
          <w:lang w:val="de-DE"/>
        </w:rPr>
      </w:pPr>
    </w:p>
    <w:p w:rsidR="004066E3" w:rsidRPr="006166B4" w:rsidRDefault="004066E3" w:rsidP="004066E3">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rsidR="004066E3" w:rsidRPr="006166B4" w:rsidRDefault="004066E3" w:rsidP="004066E3">
      <w:pPr>
        <w:pStyle w:val="MTUBodycopy"/>
        <w:tabs>
          <w:tab w:val="left" w:pos="8505"/>
        </w:tabs>
        <w:ind w:right="1984"/>
        <w:jc w:val="both"/>
        <w:rPr>
          <w:i/>
          <w:lang w:val="de-DE"/>
        </w:rPr>
      </w:pPr>
    </w:p>
    <w:p w:rsidR="004066E3" w:rsidRPr="006166B4" w:rsidRDefault="004066E3" w:rsidP="004066E3">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4066E3" w:rsidRPr="006166B4" w:rsidRDefault="004066E3" w:rsidP="004066E3">
      <w:pPr>
        <w:rPr>
          <w:rFonts w:ascii="CorpoS" w:hAnsi="CorpoS"/>
          <w:sz w:val="16"/>
          <w:szCs w:val="16"/>
          <w:lang w:val="de-DE"/>
        </w:rPr>
      </w:pPr>
    </w:p>
    <w:p w:rsidR="000860C0" w:rsidRDefault="004066E3" w:rsidP="00686FAA">
      <w:pPr>
        <w:ind w:right="283"/>
        <w:jc w:val="both"/>
        <w:rPr>
          <w:rFonts w:ascii="CorpoS" w:hAnsi="CorpoS"/>
          <w:szCs w:val="24"/>
          <w:u w:val="single"/>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0860C0"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A8" w:rsidRDefault="009B1BA8">
      <w:r>
        <w:separator/>
      </w:r>
    </w:p>
  </w:endnote>
  <w:endnote w:type="continuationSeparator" w:id="0">
    <w:p w:rsidR="009B1BA8" w:rsidRDefault="009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E942B3" w:rsidRDefault="00051E60">
    <w:pPr>
      <w:pStyle w:val="Fuzeile"/>
      <w:spacing w:line="160" w:lineRule="exact"/>
      <w:rPr>
        <w:rFonts w:ascii="CorpoS" w:hAnsi="CorpoS"/>
        <w:color w:val="000000"/>
        <w:sz w:val="15"/>
        <w:lang w:val="de-DE"/>
      </w:rPr>
    </w:pPr>
    <w:r w:rsidRPr="00E942B3">
      <w:rPr>
        <w:rFonts w:ascii="CorpoS" w:hAnsi="CorpoS"/>
        <w:color w:val="000000"/>
        <w:sz w:val="15"/>
        <w:lang w:val="de-DE"/>
      </w:rPr>
      <w:t>and Public Affairs</w:t>
    </w:r>
  </w:p>
  <w:p w:rsidR="00051E60" w:rsidRPr="00E942B3" w:rsidRDefault="00051E60">
    <w:pPr>
      <w:pStyle w:val="Fuzeile"/>
      <w:spacing w:line="160" w:lineRule="exact"/>
      <w:rPr>
        <w:rFonts w:ascii="CorpoS" w:hAnsi="CorpoS"/>
        <w:color w:val="000000"/>
        <w:sz w:val="15"/>
        <w:lang w:val="de-DE"/>
      </w:rPr>
    </w:pPr>
    <w:r w:rsidRPr="00E942B3">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A8" w:rsidRDefault="009B1BA8">
      <w:r>
        <w:separator/>
      </w:r>
    </w:p>
  </w:footnote>
  <w:footnote w:type="continuationSeparator" w:id="0">
    <w:p w:rsidR="009B1BA8" w:rsidRDefault="009B1BA8">
      <w:r>
        <w:continuationSeparator/>
      </w:r>
    </w:p>
  </w:footnote>
  <w:footnote w:id="1">
    <w:p w:rsidR="0021479B" w:rsidRPr="0021479B" w:rsidRDefault="0021479B" w:rsidP="0021479B">
      <w:pPr>
        <w:pStyle w:val="Funotentext"/>
        <w:rPr>
          <w:rFonts w:ascii="CorpoS" w:hAnsi="CorpoS"/>
          <w:b/>
          <w:sz w:val="16"/>
          <w:szCs w:val="16"/>
          <w:lang w:val="de-DE"/>
        </w:rPr>
      </w:pPr>
      <w:r>
        <w:rPr>
          <w:rStyle w:val="Funotenzeichen"/>
          <w:rFonts w:ascii="CorpoS" w:hAnsi="CorpoS"/>
          <w:b/>
          <w:sz w:val="16"/>
          <w:szCs w:val="16"/>
        </w:rPr>
        <w:footnoteRef/>
      </w:r>
      <w:r w:rsidRPr="0021479B">
        <w:rPr>
          <w:rFonts w:ascii="CorpoS" w:hAnsi="CorpoS"/>
          <w:b/>
          <w:sz w:val="16"/>
          <w:szCs w:val="16"/>
          <w:lang w:val="de-DE"/>
        </w:rPr>
        <w:t xml:space="preserve"> EBIT </w:t>
      </w:r>
      <w:proofErr w:type="spellStart"/>
      <w:r w:rsidRPr="0021479B">
        <w:rPr>
          <w:rFonts w:ascii="CorpoS" w:hAnsi="CorpoS"/>
          <w:b/>
          <w:sz w:val="16"/>
          <w:szCs w:val="16"/>
          <w:lang w:val="de-DE"/>
        </w:rPr>
        <w:t>adjusted</w:t>
      </w:r>
      <w:proofErr w:type="spellEnd"/>
      <w:r w:rsidRPr="0021479B">
        <w:rPr>
          <w:rFonts w:ascii="CorpoS" w:hAnsi="CorpoS"/>
          <w:b/>
          <w:sz w:val="16"/>
          <w:szCs w:val="16"/>
          <w:lang w:val="de-DE"/>
        </w:rPr>
        <w:t xml:space="preserve"> =</w:t>
      </w:r>
      <w:r w:rsidRPr="0021479B">
        <w:rPr>
          <w:rFonts w:ascii="CorpoS" w:hAnsi="CorpoS"/>
          <w:b/>
          <w:sz w:val="22"/>
          <w:szCs w:val="22"/>
          <w:lang w:val="de-DE"/>
        </w:rPr>
        <w:t xml:space="preserve"> </w:t>
      </w:r>
      <w:r w:rsidRPr="0021479B">
        <w:rPr>
          <w:rFonts w:ascii="CorpoS" w:hAnsi="CorpoS"/>
          <w:b/>
          <w:sz w:val="16"/>
          <w:szCs w:val="16"/>
          <w:lang w:val="de-DE"/>
        </w:rPr>
        <w:t>Ergebnis vor Finanzergebnis und Steuern, vergleichbar gerechnet</w:t>
      </w:r>
    </w:p>
  </w:footnote>
  <w:footnote w:id="2">
    <w:p w:rsidR="00E76DBC" w:rsidRPr="0021479B" w:rsidRDefault="00E76DBC" w:rsidP="00E76DBC">
      <w:pPr>
        <w:pStyle w:val="Funotentext"/>
        <w:rPr>
          <w:rFonts w:ascii="CorpoS" w:hAnsi="CorpoS"/>
          <w:b/>
          <w:sz w:val="16"/>
          <w:szCs w:val="16"/>
          <w:lang w:val="de-DE"/>
        </w:rPr>
      </w:pPr>
      <w:r>
        <w:rPr>
          <w:rStyle w:val="Funotenzeichen"/>
          <w:rFonts w:ascii="CorpoS" w:hAnsi="CorpoS"/>
          <w:b/>
          <w:sz w:val="16"/>
          <w:szCs w:val="16"/>
        </w:rPr>
        <w:footnoteRef/>
      </w:r>
      <w:r w:rsidRPr="0021479B">
        <w:rPr>
          <w:rFonts w:ascii="CorpoS" w:hAnsi="CorpoS"/>
          <w:b/>
          <w:sz w:val="16"/>
          <w:szCs w:val="16"/>
          <w:lang w:val="de-DE"/>
        </w:rPr>
        <w:t xml:space="preserve"> Net Income </w:t>
      </w:r>
      <w:proofErr w:type="spellStart"/>
      <w:r w:rsidRPr="0021479B">
        <w:rPr>
          <w:rFonts w:ascii="CorpoS" w:hAnsi="CorpoS"/>
          <w:b/>
          <w:sz w:val="16"/>
          <w:szCs w:val="16"/>
          <w:lang w:val="de-DE"/>
        </w:rPr>
        <w:t>adjusted</w:t>
      </w:r>
      <w:proofErr w:type="spellEnd"/>
      <w:r w:rsidRPr="0021479B">
        <w:rPr>
          <w:rFonts w:ascii="CorpoS" w:hAnsi="CorpoS"/>
          <w:b/>
          <w:sz w:val="16"/>
          <w:szCs w:val="16"/>
          <w:lang w:val="de-DE"/>
        </w:rPr>
        <w:t xml:space="preserve"> =</w:t>
      </w:r>
      <w:r w:rsidRPr="0021479B">
        <w:rPr>
          <w:rFonts w:ascii="CorpoS" w:hAnsi="CorpoS"/>
          <w:b/>
          <w:sz w:val="22"/>
          <w:szCs w:val="22"/>
          <w:lang w:val="de-DE"/>
        </w:rPr>
        <w:t xml:space="preserve"> </w:t>
      </w:r>
      <w:r w:rsidRPr="002147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F6339D">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F6339D"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F6339D"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62B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D65D6"/>
    <w:multiLevelType w:val="hybridMultilevel"/>
    <w:tmpl w:val="1E6A2B84"/>
    <w:lvl w:ilvl="0" w:tplc="C1DC983E">
      <w:start w:val="21"/>
      <w:numFmt w:val="bullet"/>
      <w:lvlText w:val="﷐"/>
      <w:lvlJc w:val="left"/>
      <w:pPr>
        <w:ind w:left="720" w:hanging="360"/>
      </w:pPr>
      <w:rPr>
        <w:rFonts w:ascii="CorpoS" w:eastAsia="Times"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3357E"/>
    <w:multiLevelType w:val="hybridMultilevel"/>
    <w:tmpl w:val="82BCCCAC"/>
    <w:lvl w:ilvl="0" w:tplc="CCCC5B42">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776627EE">
      <w:start w:val="1"/>
      <w:numFmt w:val="bullet"/>
      <w:lvlText w:val=""/>
      <w:lvlJc w:val="left"/>
      <w:pPr>
        <w:tabs>
          <w:tab w:val="num" w:pos="340"/>
        </w:tabs>
        <w:ind w:left="340" w:hanging="340"/>
      </w:pPr>
      <w:rPr>
        <w:rFonts w:ascii="Symbol" w:hAnsi="Symbol" w:hint="default"/>
      </w:rPr>
    </w:lvl>
    <w:lvl w:ilvl="1" w:tplc="51B27BE0" w:tentative="1">
      <w:start w:val="1"/>
      <w:numFmt w:val="bullet"/>
      <w:lvlText w:val="o"/>
      <w:lvlJc w:val="left"/>
      <w:pPr>
        <w:tabs>
          <w:tab w:val="num" w:pos="1440"/>
        </w:tabs>
        <w:ind w:left="1440" w:hanging="360"/>
      </w:pPr>
      <w:rPr>
        <w:rFonts w:ascii="Courier New" w:hAnsi="Courier New" w:cs="Courier New" w:hint="default"/>
      </w:rPr>
    </w:lvl>
    <w:lvl w:ilvl="2" w:tplc="9BBAB5A0" w:tentative="1">
      <w:start w:val="1"/>
      <w:numFmt w:val="bullet"/>
      <w:lvlText w:val=""/>
      <w:lvlJc w:val="left"/>
      <w:pPr>
        <w:tabs>
          <w:tab w:val="num" w:pos="2160"/>
        </w:tabs>
        <w:ind w:left="2160" w:hanging="360"/>
      </w:pPr>
      <w:rPr>
        <w:rFonts w:ascii="Wingdings" w:hAnsi="Wingdings" w:hint="default"/>
      </w:rPr>
    </w:lvl>
    <w:lvl w:ilvl="3" w:tplc="473AF856" w:tentative="1">
      <w:start w:val="1"/>
      <w:numFmt w:val="bullet"/>
      <w:lvlText w:val=""/>
      <w:lvlJc w:val="left"/>
      <w:pPr>
        <w:tabs>
          <w:tab w:val="num" w:pos="2880"/>
        </w:tabs>
        <w:ind w:left="2880" w:hanging="360"/>
      </w:pPr>
      <w:rPr>
        <w:rFonts w:ascii="Symbol" w:hAnsi="Symbol" w:hint="default"/>
      </w:rPr>
    </w:lvl>
    <w:lvl w:ilvl="4" w:tplc="C354E9CC" w:tentative="1">
      <w:start w:val="1"/>
      <w:numFmt w:val="bullet"/>
      <w:lvlText w:val="o"/>
      <w:lvlJc w:val="left"/>
      <w:pPr>
        <w:tabs>
          <w:tab w:val="num" w:pos="3600"/>
        </w:tabs>
        <w:ind w:left="3600" w:hanging="360"/>
      </w:pPr>
      <w:rPr>
        <w:rFonts w:ascii="Courier New" w:hAnsi="Courier New" w:cs="Courier New" w:hint="default"/>
      </w:rPr>
    </w:lvl>
    <w:lvl w:ilvl="5" w:tplc="DD42ADFA" w:tentative="1">
      <w:start w:val="1"/>
      <w:numFmt w:val="bullet"/>
      <w:lvlText w:val=""/>
      <w:lvlJc w:val="left"/>
      <w:pPr>
        <w:tabs>
          <w:tab w:val="num" w:pos="4320"/>
        </w:tabs>
        <w:ind w:left="4320" w:hanging="360"/>
      </w:pPr>
      <w:rPr>
        <w:rFonts w:ascii="Wingdings" w:hAnsi="Wingdings" w:hint="default"/>
      </w:rPr>
    </w:lvl>
    <w:lvl w:ilvl="6" w:tplc="C57EFAA4" w:tentative="1">
      <w:start w:val="1"/>
      <w:numFmt w:val="bullet"/>
      <w:lvlText w:val=""/>
      <w:lvlJc w:val="left"/>
      <w:pPr>
        <w:tabs>
          <w:tab w:val="num" w:pos="5040"/>
        </w:tabs>
        <w:ind w:left="5040" w:hanging="360"/>
      </w:pPr>
      <w:rPr>
        <w:rFonts w:ascii="Symbol" w:hAnsi="Symbol" w:hint="default"/>
      </w:rPr>
    </w:lvl>
    <w:lvl w:ilvl="7" w:tplc="2992118A" w:tentative="1">
      <w:start w:val="1"/>
      <w:numFmt w:val="bullet"/>
      <w:lvlText w:val="o"/>
      <w:lvlJc w:val="left"/>
      <w:pPr>
        <w:tabs>
          <w:tab w:val="num" w:pos="5760"/>
        </w:tabs>
        <w:ind w:left="5760" w:hanging="360"/>
      </w:pPr>
      <w:rPr>
        <w:rFonts w:ascii="Courier New" w:hAnsi="Courier New" w:cs="Courier New" w:hint="default"/>
      </w:rPr>
    </w:lvl>
    <w:lvl w:ilvl="8" w:tplc="52D049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7B372EA9"/>
    <w:multiLevelType w:val="hybridMultilevel"/>
    <w:tmpl w:val="1F5EA408"/>
    <w:lvl w:ilvl="0" w:tplc="11926870">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C62623D2">
      <w:start w:val="1"/>
      <w:numFmt w:val="bullet"/>
      <w:lvlText w:val=""/>
      <w:lvlJc w:val="left"/>
      <w:pPr>
        <w:tabs>
          <w:tab w:val="num" w:pos="720"/>
        </w:tabs>
        <w:ind w:left="720" w:hanging="360"/>
      </w:pPr>
      <w:rPr>
        <w:rFonts w:ascii="Symbol" w:hAnsi="Symbol" w:hint="default"/>
      </w:rPr>
    </w:lvl>
    <w:lvl w:ilvl="1" w:tplc="7EE8EB88" w:tentative="1">
      <w:start w:val="1"/>
      <w:numFmt w:val="bullet"/>
      <w:lvlText w:val="o"/>
      <w:lvlJc w:val="left"/>
      <w:pPr>
        <w:tabs>
          <w:tab w:val="num" w:pos="1440"/>
        </w:tabs>
        <w:ind w:left="1440" w:hanging="360"/>
      </w:pPr>
      <w:rPr>
        <w:rFonts w:ascii="Courier New" w:hAnsi="Courier New" w:cs="Courier New" w:hint="default"/>
      </w:rPr>
    </w:lvl>
    <w:lvl w:ilvl="2" w:tplc="6CC2CA0C" w:tentative="1">
      <w:start w:val="1"/>
      <w:numFmt w:val="bullet"/>
      <w:lvlText w:val=""/>
      <w:lvlJc w:val="left"/>
      <w:pPr>
        <w:tabs>
          <w:tab w:val="num" w:pos="2160"/>
        </w:tabs>
        <w:ind w:left="2160" w:hanging="360"/>
      </w:pPr>
      <w:rPr>
        <w:rFonts w:ascii="Wingdings" w:hAnsi="Wingdings" w:hint="default"/>
      </w:rPr>
    </w:lvl>
    <w:lvl w:ilvl="3" w:tplc="BB8C87C8" w:tentative="1">
      <w:start w:val="1"/>
      <w:numFmt w:val="bullet"/>
      <w:lvlText w:val=""/>
      <w:lvlJc w:val="left"/>
      <w:pPr>
        <w:tabs>
          <w:tab w:val="num" w:pos="2880"/>
        </w:tabs>
        <w:ind w:left="2880" w:hanging="360"/>
      </w:pPr>
      <w:rPr>
        <w:rFonts w:ascii="Symbol" w:hAnsi="Symbol" w:hint="default"/>
      </w:rPr>
    </w:lvl>
    <w:lvl w:ilvl="4" w:tplc="AB7C4E16" w:tentative="1">
      <w:start w:val="1"/>
      <w:numFmt w:val="bullet"/>
      <w:lvlText w:val="o"/>
      <w:lvlJc w:val="left"/>
      <w:pPr>
        <w:tabs>
          <w:tab w:val="num" w:pos="3600"/>
        </w:tabs>
        <w:ind w:left="3600" w:hanging="360"/>
      </w:pPr>
      <w:rPr>
        <w:rFonts w:ascii="Courier New" w:hAnsi="Courier New" w:cs="Courier New" w:hint="default"/>
      </w:rPr>
    </w:lvl>
    <w:lvl w:ilvl="5" w:tplc="0BF28D4A" w:tentative="1">
      <w:start w:val="1"/>
      <w:numFmt w:val="bullet"/>
      <w:lvlText w:val=""/>
      <w:lvlJc w:val="left"/>
      <w:pPr>
        <w:tabs>
          <w:tab w:val="num" w:pos="4320"/>
        </w:tabs>
        <w:ind w:left="4320" w:hanging="360"/>
      </w:pPr>
      <w:rPr>
        <w:rFonts w:ascii="Wingdings" w:hAnsi="Wingdings" w:hint="default"/>
      </w:rPr>
    </w:lvl>
    <w:lvl w:ilvl="6" w:tplc="DA6E445E" w:tentative="1">
      <w:start w:val="1"/>
      <w:numFmt w:val="bullet"/>
      <w:lvlText w:val=""/>
      <w:lvlJc w:val="left"/>
      <w:pPr>
        <w:tabs>
          <w:tab w:val="num" w:pos="5040"/>
        </w:tabs>
        <w:ind w:left="5040" w:hanging="360"/>
      </w:pPr>
      <w:rPr>
        <w:rFonts w:ascii="Symbol" w:hAnsi="Symbol" w:hint="default"/>
      </w:rPr>
    </w:lvl>
    <w:lvl w:ilvl="7" w:tplc="1658B274" w:tentative="1">
      <w:start w:val="1"/>
      <w:numFmt w:val="bullet"/>
      <w:lvlText w:val="o"/>
      <w:lvlJc w:val="left"/>
      <w:pPr>
        <w:tabs>
          <w:tab w:val="num" w:pos="5760"/>
        </w:tabs>
        <w:ind w:left="5760" w:hanging="360"/>
      </w:pPr>
      <w:rPr>
        <w:rFonts w:ascii="Courier New" w:hAnsi="Courier New" w:cs="Courier New" w:hint="default"/>
      </w:rPr>
    </w:lvl>
    <w:lvl w:ilvl="8" w:tplc="B424735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removePersonalInformation/>
  <w:removeDateAndTime/>
  <w:embedSystemFonts/>
  <w:activeWritingStyle w:appName="MSWord" w:lang="de-DE" w:vendorID="64" w:dllVersion="131078"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9E"/>
    <w:rsid w:val="00003F33"/>
    <w:rsid w:val="00004137"/>
    <w:rsid w:val="00010BAE"/>
    <w:rsid w:val="00014FED"/>
    <w:rsid w:val="000157FB"/>
    <w:rsid w:val="00015C60"/>
    <w:rsid w:val="00015ED4"/>
    <w:rsid w:val="00020154"/>
    <w:rsid w:val="00021989"/>
    <w:rsid w:val="00025B16"/>
    <w:rsid w:val="00034B54"/>
    <w:rsid w:val="00034C1E"/>
    <w:rsid w:val="0004012A"/>
    <w:rsid w:val="000407AC"/>
    <w:rsid w:val="000468B9"/>
    <w:rsid w:val="00046DB2"/>
    <w:rsid w:val="00051E60"/>
    <w:rsid w:val="000544A5"/>
    <w:rsid w:val="00055578"/>
    <w:rsid w:val="00056155"/>
    <w:rsid w:val="000602B0"/>
    <w:rsid w:val="000604E7"/>
    <w:rsid w:val="00060569"/>
    <w:rsid w:val="00064943"/>
    <w:rsid w:val="00065312"/>
    <w:rsid w:val="00065F76"/>
    <w:rsid w:val="000666C3"/>
    <w:rsid w:val="00066B4D"/>
    <w:rsid w:val="000673F1"/>
    <w:rsid w:val="000674C5"/>
    <w:rsid w:val="000700EE"/>
    <w:rsid w:val="00070C70"/>
    <w:rsid w:val="00071EF9"/>
    <w:rsid w:val="0007311A"/>
    <w:rsid w:val="00073BEA"/>
    <w:rsid w:val="00074142"/>
    <w:rsid w:val="00080396"/>
    <w:rsid w:val="000841F4"/>
    <w:rsid w:val="00084729"/>
    <w:rsid w:val="000860C0"/>
    <w:rsid w:val="00086FD2"/>
    <w:rsid w:val="0009441E"/>
    <w:rsid w:val="00094566"/>
    <w:rsid w:val="00095C96"/>
    <w:rsid w:val="00097C1E"/>
    <w:rsid w:val="00097E7C"/>
    <w:rsid w:val="000A336A"/>
    <w:rsid w:val="000A52FB"/>
    <w:rsid w:val="000A6029"/>
    <w:rsid w:val="000B2032"/>
    <w:rsid w:val="000B303C"/>
    <w:rsid w:val="000B6150"/>
    <w:rsid w:val="000B67F6"/>
    <w:rsid w:val="000B7230"/>
    <w:rsid w:val="000C09A7"/>
    <w:rsid w:val="000C7CB4"/>
    <w:rsid w:val="000D18F5"/>
    <w:rsid w:val="000D343A"/>
    <w:rsid w:val="000E12CF"/>
    <w:rsid w:val="000E2D21"/>
    <w:rsid w:val="000E5A2D"/>
    <w:rsid w:val="000E5C57"/>
    <w:rsid w:val="000E7F6C"/>
    <w:rsid w:val="000F0BAD"/>
    <w:rsid w:val="000F0F17"/>
    <w:rsid w:val="000F1234"/>
    <w:rsid w:val="000F1C43"/>
    <w:rsid w:val="000F401E"/>
    <w:rsid w:val="000F5B28"/>
    <w:rsid w:val="000F6061"/>
    <w:rsid w:val="000F67D0"/>
    <w:rsid w:val="000F74AB"/>
    <w:rsid w:val="0010010C"/>
    <w:rsid w:val="00100FBE"/>
    <w:rsid w:val="00101A24"/>
    <w:rsid w:val="001060D0"/>
    <w:rsid w:val="00107445"/>
    <w:rsid w:val="00111228"/>
    <w:rsid w:val="00112573"/>
    <w:rsid w:val="00112BEC"/>
    <w:rsid w:val="0011318E"/>
    <w:rsid w:val="00113984"/>
    <w:rsid w:val="00113E5F"/>
    <w:rsid w:val="00115186"/>
    <w:rsid w:val="00115194"/>
    <w:rsid w:val="00120A6B"/>
    <w:rsid w:val="0012205F"/>
    <w:rsid w:val="00123F44"/>
    <w:rsid w:val="0012449A"/>
    <w:rsid w:val="0012476B"/>
    <w:rsid w:val="00125F98"/>
    <w:rsid w:val="00131906"/>
    <w:rsid w:val="00132605"/>
    <w:rsid w:val="0013325C"/>
    <w:rsid w:val="001334ED"/>
    <w:rsid w:val="001345A4"/>
    <w:rsid w:val="001355B9"/>
    <w:rsid w:val="00137166"/>
    <w:rsid w:val="00137B8F"/>
    <w:rsid w:val="00140C9C"/>
    <w:rsid w:val="00142C1E"/>
    <w:rsid w:val="00142D9D"/>
    <w:rsid w:val="00143677"/>
    <w:rsid w:val="00143AB1"/>
    <w:rsid w:val="00151E2A"/>
    <w:rsid w:val="0015277B"/>
    <w:rsid w:val="00161B36"/>
    <w:rsid w:val="00161F11"/>
    <w:rsid w:val="00163004"/>
    <w:rsid w:val="00163522"/>
    <w:rsid w:val="00163C4B"/>
    <w:rsid w:val="00164719"/>
    <w:rsid w:val="00167E2C"/>
    <w:rsid w:val="00171DCD"/>
    <w:rsid w:val="00173970"/>
    <w:rsid w:val="00174412"/>
    <w:rsid w:val="0017467C"/>
    <w:rsid w:val="001748F7"/>
    <w:rsid w:val="001772E2"/>
    <w:rsid w:val="00177F92"/>
    <w:rsid w:val="00181DF8"/>
    <w:rsid w:val="00183A60"/>
    <w:rsid w:val="001847E0"/>
    <w:rsid w:val="00184BE7"/>
    <w:rsid w:val="00184FD9"/>
    <w:rsid w:val="001854B3"/>
    <w:rsid w:val="0018690C"/>
    <w:rsid w:val="0019502C"/>
    <w:rsid w:val="0019766E"/>
    <w:rsid w:val="00197CF5"/>
    <w:rsid w:val="001A05AE"/>
    <w:rsid w:val="001A35E9"/>
    <w:rsid w:val="001A51C9"/>
    <w:rsid w:val="001A7604"/>
    <w:rsid w:val="001A7716"/>
    <w:rsid w:val="001B1AE3"/>
    <w:rsid w:val="001B3257"/>
    <w:rsid w:val="001B3270"/>
    <w:rsid w:val="001B5DE1"/>
    <w:rsid w:val="001C2471"/>
    <w:rsid w:val="001C26ED"/>
    <w:rsid w:val="001C2A30"/>
    <w:rsid w:val="001C403E"/>
    <w:rsid w:val="001C53D3"/>
    <w:rsid w:val="001D20F8"/>
    <w:rsid w:val="001D37F6"/>
    <w:rsid w:val="001D5DDA"/>
    <w:rsid w:val="001D5FA8"/>
    <w:rsid w:val="001D6784"/>
    <w:rsid w:val="001E0FB2"/>
    <w:rsid w:val="001E1C58"/>
    <w:rsid w:val="001E2F47"/>
    <w:rsid w:val="001E5784"/>
    <w:rsid w:val="001E773F"/>
    <w:rsid w:val="001F01CB"/>
    <w:rsid w:val="001F030F"/>
    <w:rsid w:val="001F0951"/>
    <w:rsid w:val="00200529"/>
    <w:rsid w:val="002013D0"/>
    <w:rsid w:val="0020190A"/>
    <w:rsid w:val="002037D9"/>
    <w:rsid w:val="00203D76"/>
    <w:rsid w:val="00206F22"/>
    <w:rsid w:val="00210913"/>
    <w:rsid w:val="0021191F"/>
    <w:rsid w:val="0021479B"/>
    <w:rsid w:val="00215C18"/>
    <w:rsid w:val="0021633B"/>
    <w:rsid w:val="00217E6C"/>
    <w:rsid w:val="00223406"/>
    <w:rsid w:val="00224DE9"/>
    <w:rsid w:val="002250C8"/>
    <w:rsid w:val="002257FA"/>
    <w:rsid w:val="00226271"/>
    <w:rsid w:val="002276D8"/>
    <w:rsid w:val="002335C6"/>
    <w:rsid w:val="00234236"/>
    <w:rsid w:val="00235E28"/>
    <w:rsid w:val="00237992"/>
    <w:rsid w:val="00237AEE"/>
    <w:rsid w:val="002403CB"/>
    <w:rsid w:val="002403CE"/>
    <w:rsid w:val="00240AA8"/>
    <w:rsid w:val="00241530"/>
    <w:rsid w:val="002451B2"/>
    <w:rsid w:val="002461AC"/>
    <w:rsid w:val="0024691C"/>
    <w:rsid w:val="00247F95"/>
    <w:rsid w:val="00252391"/>
    <w:rsid w:val="00254406"/>
    <w:rsid w:val="0025590C"/>
    <w:rsid w:val="00256BAD"/>
    <w:rsid w:val="002614A9"/>
    <w:rsid w:val="00261A60"/>
    <w:rsid w:val="0026214B"/>
    <w:rsid w:val="00262857"/>
    <w:rsid w:val="002630F3"/>
    <w:rsid w:val="00263C34"/>
    <w:rsid w:val="002642CB"/>
    <w:rsid w:val="002653AB"/>
    <w:rsid w:val="002655A5"/>
    <w:rsid w:val="002678D3"/>
    <w:rsid w:val="00270847"/>
    <w:rsid w:val="00270DD3"/>
    <w:rsid w:val="002711E9"/>
    <w:rsid w:val="00271429"/>
    <w:rsid w:val="00272BF5"/>
    <w:rsid w:val="002731AA"/>
    <w:rsid w:val="002743F4"/>
    <w:rsid w:val="00275114"/>
    <w:rsid w:val="0027720A"/>
    <w:rsid w:val="00280197"/>
    <w:rsid w:val="002808D1"/>
    <w:rsid w:val="00281AA0"/>
    <w:rsid w:val="002830ED"/>
    <w:rsid w:val="00283F5D"/>
    <w:rsid w:val="002907D9"/>
    <w:rsid w:val="00291085"/>
    <w:rsid w:val="00291329"/>
    <w:rsid w:val="00294931"/>
    <w:rsid w:val="00296075"/>
    <w:rsid w:val="002A0C81"/>
    <w:rsid w:val="002A2193"/>
    <w:rsid w:val="002A27FE"/>
    <w:rsid w:val="002A2853"/>
    <w:rsid w:val="002A3478"/>
    <w:rsid w:val="002A3DF2"/>
    <w:rsid w:val="002A3E85"/>
    <w:rsid w:val="002A4079"/>
    <w:rsid w:val="002A475A"/>
    <w:rsid w:val="002A5553"/>
    <w:rsid w:val="002B0120"/>
    <w:rsid w:val="002B0BAB"/>
    <w:rsid w:val="002B284D"/>
    <w:rsid w:val="002B4E03"/>
    <w:rsid w:val="002B5AC9"/>
    <w:rsid w:val="002B6B5C"/>
    <w:rsid w:val="002B7FC3"/>
    <w:rsid w:val="002C05D1"/>
    <w:rsid w:val="002C1173"/>
    <w:rsid w:val="002C4B33"/>
    <w:rsid w:val="002C5C08"/>
    <w:rsid w:val="002C5CFC"/>
    <w:rsid w:val="002C6982"/>
    <w:rsid w:val="002C7907"/>
    <w:rsid w:val="002D201F"/>
    <w:rsid w:val="002D426F"/>
    <w:rsid w:val="002D6C51"/>
    <w:rsid w:val="002D6E3F"/>
    <w:rsid w:val="002E2DB5"/>
    <w:rsid w:val="002E3646"/>
    <w:rsid w:val="002E4B43"/>
    <w:rsid w:val="002E648F"/>
    <w:rsid w:val="002E6CAB"/>
    <w:rsid w:val="002E70D5"/>
    <w:rsid w:val="002E7740"/>
    <w:rsid w:val="002F2104"/>
    <w:rsid w:val="002F293F"/>
    <w:rsid w:val="002F43DA"/>
    <w:rsid w:val="002F493F"/>
    <w:rsid w:val="002F58AB"/>
    <w:rsid w:val="002F76AF"/>
    <w:rsid w:val="00300A57"/>
    <w:rsid w:val="00301389"/>
    <w:rsid w:val="003018DF"/>
    <w:rsid w:val="003025F3"/>
    <w:rsid w:val="00302705"/>
    <w:rsid w:val="00303AA8"/>
    <w:rsid w:val="00306162"/>
    <w:rsid w:val="0030763E"/>
    <w:rsid w:val="00310230"/>
    <w:rsid w:val="003129F2"/>
    <w:rsid w:val="0031491A"/>
    <w:rsid w:val="00314F44"/>
    <w:rsid w:val="00322F67"/>
    <w:rsid w:val="00325339"/>
    <w:rsid w:val="00325951"/>
    <w:rsid w:val="0032608A"/>
    <w:rsid w:val="003263A1"/>
    <w:rsid w:val="00326B55"/>
    <w:rsid w:val="003306E0"/>
    <w:rsid w:val="00331F68"/>
    <w:rsid w:val="00332A4F"/>
    <w:rsid w:val="00333324"/>
    <w:rsid w:val="00340741"/>
    <w:rsid w:val="00342A55"/>
    <w:rsid w:val="00343C99"/>
    <w:rsid w:val="00344B08"/>
    <w:rsid w:val="00345288"/>
    <w:rsid w:val="0034534D"/>
    <w:rsid w:val="00345A99"/>
    <w:rsid w:val="00347013"/>
    <w:rsid w:val="0035180B"/>
    <w:rsid w:val="0035315A"/>
    <w:rsid w:val="00354A2A"/>
    <w:rsid w:val="00354BD1"/>
    <w:rsid w:val="0036092F"/>
    <w:rsid w:val="003659D7"/>
    <w:rsid w:val="00366105"/>
    <w:rsid w:val="00370303"/>
    <w:rsid w:val="00371748"/>
    <w:rsid w:val="00376BC0"/>
    <w:rsid w:val="0038105B"/>
    <w:rsid w:val="0038142E"/>
    <w:rsid w:val="003839FD"/>
    <w:rsid w:val="00383FD0"/>
    <w:rsid w:val="00385742"/>
    <w:rsid w:val="003874C7"/>
    <w:rsid w:val="00390A09"/>
    <w:rsid w:val="00392C78"/>
    <w:rsid w:val="00395974"/>
    <w:rsid w:val="00395EEE"/>
    <w:rsid w:val="00397AA0"/>
    <w:rsid w:val="003A0AF4"/>
    <w:rsid w:val="003A11EA"/>
    <w:rsid w:val="003A409C"/>
    <w:rsid w:val="003A74C1"/>
    <w:rsid w:val="003B1233"/>
    <w:rsid w:val="003B2216"/>
    <w:rsid w:val="003B3B78"/>
    <w:rsid w:val="003B3BF3"/>
    <w:rsid w:val="003B573D"/>
    <w:rsid w:val="003B5C3E"/>
    <w:rsid w:val="003B6BD3"/>
    <w:rsid w:val="003B7B24"/>
    <w:rsid w:val="003C0155"/>
    <w:rsid w:val="003C1344"/>
    <w:rsid w:val="003C46D4"/>
    <w:rsid w:val="003C5000"/>
    <w:rsid w:val="003C7477"/>
    <w:rsid w:val="003C776A"/>
    <w:rsid w:val="003D1233"/>
    <w:rsid w:val="003D1F1A"/>
    <w:rsid w:val="003D2A4A"/>
    <w:rsid w:val="003D410C"/>
    <w:rsid w:val="003D54D7"/>
    <w:rsid w:val="003E1538"/>
    <w:rsid w:val="003E16C3"/>
    <w:rsid w:val="003E220C"/>
    <w:rsid w:val="003E4C71"/>
    <w:rsid w:val="003E4E22"/>
    <w:rsid w:val="003E6FBA"/>
    <w:rsid w:val="003E7697"/>
    <w:rsid w:val="003F3315"/>
    <w:rsid w:val="003F4837"/>
    <w:rsid w:val="003F6AC6"/>
    <w:rsid w:val="0040198B"/>
    <w:rsid w:val="00402DA5"/>
    <w:rsid w:val="0040306E"/>
    <w:rsid w:val="004044E9"/>
    <w:rsid w:val="004051E8"/>
    <w:rsid w:val="00405869"/>
    <w:rsid w:val="004066E3"/>
    <w:rsid w:val="004072CD"/>
    <w:rsid w:val="00410940"/>
    <w:rsid w:val="00410EB4"/>
    <w:rsid w:val="00414EF2"/>
    <w:rsid w:val="0041523F"/>
    <w:rsid w:val="00416684"/>
    <w:rsid w:val="00416A9B"/>
    <w:rsid w:val="00421275"/>
    <w:rsid w:val="0042166D"/>
    <w:rsid w:val="00422C8A"/>
    <w:rsid w:val="00424370"/>
    <w:rsid w:val="00427069"/>
    <w:rsid w:val="00427ABB"/>
    <w:rsid w:val="00427E6B"/>
    <w:rsid w:val="00430640"/>
    <w:rsid w:val="00431527"/>
    <w:rsid w:val="00433A66"/>
    <w:rsid w:val="00434F30"/>
    <w:rsid w:val="00435AC3"/>
    <w:rsid w:val="0043785C"/>
    <w:rsid w:val="004402F1"/>
    <w:rsid w:val="00442AED"/>
    <w:rsid w:val="00442BCC"/>
    <w:rsid w:val="00444182"/>
    <w:rsid w:val="00454F82"/>
    <w:rsid w:val="004608E1"/>
    <w:rsid w:val="00462E55"/>
    <w:rsid w:val="00467422"/>
    <w:rsid w:val="00471BD7"/>
    <w:rsid w:val="00476110"/>
    <w:rsid w:val="004776DA"/>
    <w:rsid w:val="00477722"/>
    <w:rsid w:val="004807C7"/>
    <w:rsid w:val="00481764"/>
    <w:rsid w:val="00483B0F"/>
    <w:rsid w:val="00484336"/>
    <w:rsid w:val="0048499B"/>
    <w:rsid w:val="00492B82"/>
    <w:rsid w:val="00494120"/>
    <w:rsid w:val="00494401"/>
    <w:rsid w:val="004966DC"/>
    <w:rsid w:val="00496C3B"/>
    <w:rsid w:val="00497FBA"/>
    <w:rsid w:val="004A092E"/>
    <w:rsid w:val="004A1FA1"/>
    <w:rsid w:val="004A26BF"/>
    <w:rsid w:val="004A3D46"/>
    <w:rsid w:val="004A6706"/>
    <w:rsid w:val="004A7262"/>
    <w:rsid w:val="004B7BD1"/>
    <w:rsid w:val="004C1541"/>
    <w:rsid w:val="004C1CF7"/>
    <w:rsid w:val="004C26D3"/>
    <w:rsid w:val="004C5E01"/>
    <w:rsid w:val="004D24E6"/>
    <w:rsid w:val="004D5603"/>
    <w:rsid w:val="004D5DB4"/>
    <w:rsid w:val="004D60B5"/>
    <w:rsid w:val="004D7A8F"/>
    <w:rsid w:val="004E2477"/>
    <w:rsid w:val="004E2D37"/>
    <w:rsid w:val="004E5F27"/>
    <w:rsid w:val="004E6EA9"/>
    <w:rsid w:val="004E7629"/>
    <w:rsid w:val="004F201A"/>
    <w:rsid w:val="004F52EF"/>
    <w:rsid w:val="004F5EC6"/>
    <w:rsid w:val="004F66CE"/>
    <w:rsid w:val="004F7C0F"/>
    <w:rsid w:val="00500B51"/>
    <w:rsid w:val="00507889"/>
    <w:rsid w:val="00510A60"/>
    <w:rsid w:val="00510E9C"/>
    <w:rsid w:val="005112AE"/>
    <w:rsid w:val="00522D17"/>
    <w:rsid w:val="00524EF7"/>
    <w:rsid w:val="005277DA"/>
    <w:rsid w:val="005312AD"/>
    <w:rsid w:val="00532226"/>
    <w:rsid w:val="00532E25"/>
    <w:rsid w:val="00533C39"/>
    <w:rsid w:val="00543E83"/>
    <w:rsid w:val="0054532F"/>
    <w:rsid w:val="00555B50"/>
    <w:rsid w:val="0055693A"/>
    <w:rsid w:val="00564462"/>
    <w:rsid w:val="00565DE6"/>
    <w:rsid w:val="005660B5"/>
    <w:rsid w:val="00566555"/>
    <w:rsid w:val="00566CED"/>
    <w:rsid w:val="0056768F"/>
    <w:rsid w:val="00570D5F"/>
    <w:rsid w:val="00570E4F"/>
    <w:rsid w:val="00572802"/>
    <w:rsid w:val="00572D16"/>
    <w:rsid w:val="00577858"/>
    <w:rsid w:val="00583DF9"/>
    <w:rsid w:val="00584264"/>
    <w:rsid w:val="005922E7"/>
    <w:rsid w:val="00594B6E"/>
    <w:rsid w:val="00595E66"/>
    <w:rsid w:val="00595FBE"/>
    <w:rsid w:val="005A1451"/>
    <w:rsid w:val="005A55DC"/>
    <w:rsid w:val="005A5C78"/>
    <w:rsid w:val="005A7339"/>
    <w:rsid w:val="005B1C0B"/>
    <w:rsid w:val="005B4229"/>
    <w:rsid w:val="005B7771"/>
    <w:rsid w:val="005C32D7"/>
    <w:rsid w:val="005C513A"/>
    <w:rsid w:val="005C73CB"/>
    <w:rsid w:val="005C762A"/>
    <w:rsid w:val="005D3D59"/>
    <w:rsid w:val="005D429D"/>
    <w:rsid w:val="005D4E4B"/>
    <w:rsid w:val="005D592B"/>
    <w:rsid w:val="005D667A"/>
    <w:rsid w:val="005D737B"/>
    <w:rsid w:val="005E027E"/>
    <w:rsid w:val="005E094E"/>
    <w:rsid w:val="005E0C10"/>
    <w:rsid w:val="005E2691"/>
    <w:rsid w:val="005E64C5"/>
    <w:rsid w:val="005F55C7"/>
    <w:rsid w:val="005F56B5"/>
    <w:rsid w:val="005F6B07"/>
    <w:rsid w:val="00600206"/>
    <w:rsid w:val="00601381"/>
    <w:rsid w:val="0060201F"/>
    <w:rsid w:val="00602AB3"/>
    <w:rsid w:val="00602DEE"/>
    <w:rsid w:val="00604147"/>
    <w:rsid w:val="00604690"/>
    <w:rsid w:val="00607764"/>
    <w:rsid w:val="006122D9"/>
    <w:rsid w:val="0061386D"/>
    <w:rsid w:val="006156F6"/>
    <w:rsid w:val="00617A4A"/>
    <w:rsid w:val="006204E6"/>
    <w:rsid w:val="00620AD9"/>
    <w:rsid w:val="00622DE4"/>
    <w:rsid w:val="0062319E"/>
    <w:rsid w:val="00623757"/>
    <w:rsid w:val="00623961"/>
    <w:rsid w:val="0062791D"/>
    <w:rsid w:val="006308BA"/>
    <w:rsid w:val="006321D6"/>
    <w:rsid w:val="00633A0B"/>
    <w:rsid w:val="00636482"/>
    <w:rsid w:val="00636522"/>
    <w:rsid w:val="006379B7"/>
    <w:rsid w:val="00637D81"/>
    <w:rsid w:val="00642685"/>
    <w:rsid w:val="00645735"/>
    <w:rsid w:val="00645B1A"/>
    <w:rsid w:val="00650821"/>
    <w:rsid w:val="00650C4F"/>
    <w:rsid w:val="0065319C"/>
    <w:rsid w:val="006551CD"/>
    <w:rsid w:val="00655755"/>
    <w:rsid w:val="00655B20"/>
    <w:rsid w:val="00655D9C"/>
    <w:rsid w:val="00655E78"/>
    <w:rsid w:val="006601E7"/>
    <w:rsid w:val="00660DC6"/>
    <w:rsid w:val="00672400"/>
    <w:rsid w:val="00680553"/>
    <w:rsid w:val="00680978"/>
    <w:rsid w:val="00681B62"/>
    <w:rsid w:val="00686FAA"/>
    <w:rsid w:val="006937C2"/>
    <w:rsid w:val="00694F36"/>
    <w:rsid w:val="00695D04"/>
    <w:rsid w:val="00695D74"/>
    <w:rsid w:val="00695DED"/>
    <w:rsid w:val="006975EA"/>
    <w:rsid w:val="006A16CD"/>
    <w:rsid w:val="006A1FA5"/>
    <w:rsid w:val="006A299F"/>
    <w:rsid w:val="006A34E3"/>
    <w:rsid w:val="006A44C1"/>
    <w:rsid w:val="006A6A7D"/>
    <w:rsid w:val="006B03BD"/>
    <w:rsid w:val="006B2E3A"/>
    <w:rsid w:val="006B6206"/>
    <w:rsid w:val="006B6A59"/>
    <w:rsid w:val="006C2CB2"/>
    <w:rsid w:val="006C2D1B"/>
    <w:rsid w:val="006C450C"/>
    <w:rsid w:val="006C4E73"/>
    <w:rsid w:val="006D1C26"/>
    <w:rsid w:val="006D261B"/>
    <w:rsid w:val="006D296E"/>
    <w:rsid w:val="006E068F"/>
    <w:rsid w:val="006E1664"/>
    <w:rsid w:val="006E1BD1"/>
    <w:rsid w:val="006E222A"/>
    <w:rsid w:val="006E2327"/>
    <w:rsid w:val="006E3466"/>
    <w:rsid w:val="006E660C"/>
    <w:rsid w:val="006E6E7B"/>
    <w:rsid w:val="006F196F"/>
    <w:rsid w:val="006F5020"/>
    <w:rsid w:val="0070360F"/>
    <w:rsid w:val="00704EE8"/>
    <w:rsid w:val="00705DB6"/>
    <w:rsid w:val="00706897"/>
    <w:rsid w:val="0071068B"/>
    <w:rsid w:val="00712F46"/>
    <w:rsid w:val="00713E25"/>
    <w:rsid w:val="007174B3"/>
    <w:rsid w:val="00720247"/>
    <w:rsid w:val="007227BF"/>
    <w:rsid w:val="0072448E"/>
    <w:rsid w:val="00726470"/>
    <w:rsid w:val="00726548"/>
    <w:rsid w:val="00727491"/>
    <w:rsid w:val="007276E4"/>
    <w:rsid w:val="007334B2"/>
    <w:rsid w:val="00733736"/>
    <w:rsid w:val="00736863"/>
    <w:rsid w:val="00736FB0"/>
    <w:rsid w:val="007371CD"/>
    <w:rsid w:val="007375C9"/>
    <w:rsid w:val="007411CA"/>
    <w:rsid w:val="00742FCE"/>
    <w:rsid w:val="00743FCF"/>
    <w:rsid w:val="007445BE"/>
    <w:rsid w:val="0074546B"/>
    <w:rsid w:val="00747606"/>
    <w:rsid w:val="00753172"/>
    <w:rsid w:val="00757670"/>
    <w:rsid w:val="00760EE0"/>
    <w:rsid w:val="00761A2B"/>
    <w:rsid w:val="00764C2D"/>
    <w:rsid w:val="00764D9E"/>
    <w:rsid w:val="00765B0A"/>
    <w:rsid w:val="00770D2A"/>
    <w:rsid w:val="007719C7"/>
    <w:rsid w:val="0077308B"/>
    <w:rsid w:val="00773A74"/>
    <w:rsid w:val="0077756B"/>
    <w:rsid w:val="007816D6"/>
    <w:rsid w:val="00783811"/>
    <w:rsid w:val="00784182"/>
    <w:rsid w:val="00785C15"/>
    <w:rsid w:val="00786B14"/>
    <w:rsid w:val="0078769A"/>
    <w:rsid w:val="00787C52"/>
    <w:rsid w:val="0079113C"/>
    <w:rsid w:val="00792ED9"/>
    <w:rsid w:val="007944E7"/>
    <w:rsid w:val="00794E74"/>
    <w:rsid w:val="007965E7"/>
    <w:rsid w:val="007966CC"/>
    <w:rsid w:val="007A0340"/>
    <w:rsid w:val="007A1FCB"/>
    <w:rsid w:val="007A3449"/>
    <w:rsid w:val="007A6752"/>
    <w:rsid w:val="007B1097"/>
    <w:rsid w:val="007B301A"/>
    <w:rsid w:val="007B3B67"/>
    <w:rsid w:val="007B5367"/>
    <w:rsid w:val="007B58B3"/>
    <w:rsid w:val="007B7E8C"/>
    <w:rsid w:val="007C40FD"/>
    <w:rsid w:val="007C48A2"/>
    <w:rsid w:val="007C56F1"/>
    <w:rsid w:val="007C5A6F"/>
    <w:rsid w:val="007C5FB1"/>
    <w:rsid w:val="007D064D"/>
    <w:rsid w:val="007D3740"/>
    <w:rsid w:val="007D3A44"/>
    <w:rsid w:val="007D4A34"/>
    <w:rsid w:val="007D64B9"/>
    <w:rsid w:val="007D795B"/>
    <w:rsid w:val="007E2D6A"/>
    <w:rsid w:val="007E64FE"/>
    <w:rsid w:val="007E7CA5"/>
    <w:rsid w:val="007F0FF6"/>
    <w:rsid w:val="007F15E9"/>
    <w:rsid w:val="007F194B"/>
    <w:rsid w:val="007F2663"/>
    <w:rsid w:val="007F5DED"/>
    <w:rsid w:val="00800267"/>
    <w:rsid w:val="00804AFD"/>
    <w:rsid w:val="00805D71"/>
    <w:rsid w:val="00806654"/>
    <w:rsid w:val="00807176"/>
    <w:rsid w:val="00810CFB"/>
    <w:rsid w:val="008168F1"/>
    <w:rsid w:val="00817D21"/>
    <w:rsid w:val="008206F6"/>
    <w:rsid w:val="00823174"/>
    <w:rsid w:val="00826A11"/>
    <w:rsid w:val="00826E93"/>
    <w:rsid w:val="0083006E"/>
    <w:rsid w:val="008317DE"/>
    <w:rsid w:val="00837CB6"/>
    <w:rsid w:val="00840ED4"/>
    <w:rsid w:val="00842027"/>
    <w:rsid w:val="008423F0"/>
    <w:rsid w:val="00846648"/>
    <w:rsid w:val="00850037"/>
    <w:rsid w:val="00855336"/>
    <w:rsid w:val="00855924"/>
    <w:rsid w:val="008571C8"/>
    <w:rsid w:val="00857E8B"/>
    <w:rsid w:val="00860007"/>
    <w:rsid w:val="008646FD"/>
    <w:rsid w:val="00864950"/>
    <w:rsid w:val="0086496A"/>
    <w:rsid w:val="00865527"/>
    <w:rsid w:val="00865A28"/>
    <w:rsid w:val="00872344"/>
    <w:rsid w:val="00872C46"/>
    <w:rsid w:val="008730C0"/>
    <w:rsid w:val="00874B50"/>
    <w:rsid w:val="0087500B"/>
    <w:rsid w:val="0087795E"/>
    <w:rsid w:val="00880D35"/>
    <w:rsid w:val="008825FD"/>
    <w:rsid w:val="008826C5"/>
    <w:rsid w:val="008827A7"/>
    <w:rsid w:val="00885FDA"/>
    <w:rsid w:val="00886962"/>
    <w:rsid w:val="008879C4"/>
    <w:rsid w:val="00890BCF"/>
    <w:rsid w:val="00892346"/>
    <w:rsid w:val="00892BC6"/>
    <w:rsid w:val="0089366D"/>
    <w:rsid w:val="0089400D"/>
    <w:rsid w:val="0089747E"/>
    <w:rsid w:val="008A16A5"/>
    <w:rsid w:val="008A1E29"/>
    <w:rsid w:val="008A2912"/>
    <w:rsid w:val="008A6D05"/>
    <w:rsid w:val="008A6EE8"/>
    <w:rsid w:val="008A7085"/>
    <w:rsid w:val="008B078D"/>
    <w:rsid w:val="008B53F4"/>
    <w:rsid w:val="008B5B57"/>
    <w:rsid w:val="008B7B99"/>
    <w:rsid w:val="008B7D57"/>
    <w:rsid w:val="008C7FB8"/>
    <w:rsid w:val="008D2972"/>
    <w:rsid w:val="008D378F"/>
    <w:rsid w:val="008D3F07"/>
    <w:rsid w:val="008D4E58"/>
    <w:rsid w:val="008D5F6B"/>
    <w:rsid w:val="008D7CDD"/>
    <w:rsid w:val="008E3B41"/>
    <w:rsid w:val="008E6854"/>
    <w:rsid w:val="008E7DFB"/>
    <w:rsid w:val="008F181F"/>
    <w:rsid w:val="008F6205"/>
    <w:rsid w:val="008F679A"/>
    <w:rsid w:val="008F74A4"/>
    <w:rsid w:val="008F7DC0"/>
    <w:rsid w:val="00902625"/>
    <w:rsid w:val="00903353"/>
    <w:rsid w:val="00903367"/>
    <w:rsid w:val="009037CE"/>
    <w:rsid w:val="00904260"/>
    <w:rsid w:val="00905E60"/>
    <w:rsid w:val="00907781"/>
    <w:rsid w:val="009107D4"/>
    <w:rsid w:val="009120EA"/>
    <w:rsid w:val="00914DA2"/>
    <w:rsid w:val="00915B55"/>
    <w:rsid w:val="0092151E"/>
    <w:rsid w:val="00921929"/>
    <w:rsid w:val="009329CB"/>
    <w:rsid w:val="00932E3D"/>
    <w:rsid w:val="009332DC"/>
    <w:rsid w:val="00933DDB"/>
    <w:rsid w:val="009372C8"/>
    <w:rsid w:val="009412FD"/>
    <w:rsid w:val="00942E63"/>
    <w:rsid w:val="0095389B"/>
    <w:rsid w:val="009548E0"/>
    <w:rsid w:val="00955F13"/>
    <w:rsid w:val="00957906"/>
    <w:rsid w:val="0096124D"/>
    <w:rsid w:val="00962BBF"/>
    <w:rsid w:val="00962C53"/>
    <w:rsid w:val="00966DE7"/>
    <w:rsid w:val="00972943"/>
    <w:rsid w:val="00973FB8"/>
    <w:rsid w:val="009740C6"/>
    <w:rsid w:val="00975B94"/>
    <w:rsid w:val="009806FD"/>
    <w:rsid w:val="00982B92"/>
    <w:rsid w:val="00982CAD"/>
    <w:rsid w:val="0098698C"/>
    <w:rsid w:val="00990E55"/>
    <w:rsid w:val="00992803"/>
    <w:rsid w:val="00992CD8"/>
    <w:rsid w:val="009951D4"/>
    <w:rsid w:val="0099616E"/>
    <w:rsid w:val="00997119"/>
    <w:rsid w:val="0099749E"/>
    <w:rsid w:val="009A1A62"/>
    <w:rsid w:val="009A1CBE"/>
    <w:rsid w:val="009A73D0"/>
    <w:rsid w:val="009B1BA8"/>
    <w:rsid w:val="009B58BB"/>
    <w:rsid w:val="009B5EDF"/>
    <w:rsid w:val="009B65BD"/>
    <w:rsid w:val="009B75D7"/>
    <w:rsid w:val="009C55AC"/>
    <w:rsid w:val="009C5950"/>
    <w:rsid w:val="009C5AB1"/>
    <w:rsid w:val="009C6E69"/>
    <w:rsid w:val="009D04C2"/>
    <w:rsid w:val="009D0FB4"/>
    <w:rsid w:val="009D2AF7"/>
    <w:rsid w:val="009D35D0"/>
    <w:rsid w:val="009D3FD2"/>
    <w:rsid w:val="009D5485"/>
    <w:rsid w:val="009E06CB"/>
    <w:rsid w:val="009E0A17"/>
    <w:rsid w:val="009E2D48"/>
    <w:rsid w:val="009E49E6"/>
    <w:rsid w:val="009E62BA"/>
    <w:rsid w:val="009F1D7C"/>
    <w:rsid w:val="009F3555"/>
    <w:rsid w:val="009F6614"/>
    <w:rsid w:val="009F6B7A"/>
    <w:rsid w:val="009F6BD3"/>
    <w:rsid w:val="00A009F2"/>
    <w:rsid w:val="00A04723"/>
    <w:rsid w:val="00A06621"/>
    <w:rsid w:val="00A06CC7"/>
    <w:rsid w:val="00A104A2"/>
    <w:rsid w:val="00A10713"/>
    <w:rsid w:val="00A11949"/>
    <w:rsid w:val="00A11CEC"/>
    <w:rsid w:val="00A14BDB"/>
    <w:rsid w:val="00A14BE5"/>
    <w:rsid w:val="00A16193"/>
    <w:rsid w:val="00A17279"/>
    <w:rsid w:val="00A172E6"/>
    <w:rsid w:val="00A22432"/>
    <w:rsid w:val="00A2438D"/>
    <w:rsid w:val="00A26006"/>
    <w:rsid w:val="00A31563"/>
    <w:rsid w:val="00A31879"/>
    <w:rsid w:val="00A3306F"/>
    <w:rsid w:val="00A43C45"/>
    <w:rsid w:val="00A43E61"/>
    <w:rsid w:val="00A449B8"/>
    <w:rsid w:val="00A44C05"/>
    <w:rsid w:val="00A4513B"/>
    <w:rsid w:val="00A46FED"/>
    <w:rsid w:val="00A47534"/>
    <w:rsid w:val="00A52710"/>
    <w:rsid w:val="00A52FED"/>
    <w:rsid w:val="00A53331"/>
    <w:rsid w:val="00A53513"/>
    <w:rsid w:val="00A54D23"/>
    <w:rsid w:val="00A55138"/>
    <w:rsid w:val="00A564FA"/>
    <w:rsid w:val="00A567DB"/>
    <w:rsid w:val="00A57BEF"/>
    <w:rsid w:val="00A57F52"/>
    <w:rsid w:val="00A616EE"/>
    <w:rsid w:val="00A6393A"/>
    <w:rsid w:val="00A65AE3"/>
    <w:rsid w:val="00A65E3C"/>
    <w:rsid w:val="00A6653C"/>
    <w:rsid w:val="00A66763"/>
    <w:rsid w:val="00A67818"/>
    <w:rsid w:val="00A73E32"/>
    <w:rsid w:val="00A73FB9"/>
    <w:rsid w:val="00A74998"/>
    <w:rsid w:val="00A749A4"/>
    <w:rsid w:val="00A7547C"/>
    <w:rsid w:val="00A775D8"/>
    <w:rsid w:val="00A86938"/>
    <w:rsid w:val="00A8770E"/>
    <w:rsid w:val="00A9570A"/>
    <w:rsid w:val="00A97E2F"/>
    <w:rsid w:val="00AA155C"/>
    <w:rsid w:val="00AA4CE8"/>
    <w:rsid w:val="00AA518F"/>
    <w:rsid w:val="00AA7B42"/>
    <w:rsid w:val="00AB0181"/>
    <w:rsid w:val="00AB02E8"/>
    <w:rsid w:val="00AB1520"/>
    <w:rsid w:val="00AB2921"/>
    <w:rsid w:val="00AB3C00"/>
    <w:rsid w:val="00AB3E3D"/>
    <w:rsid w:val="00AB3E7F"/>
    <w:rsid w:val="00AB550C"/>
    <w:rsid w:val="00AB560A"/>
    <w:rsid w:val="00AB5AF3"/>
    <w:rsid w:val="00AB690B"/>
    <w:rsid w:val="00AC1674"/>
    <w:rsid w:val="00AC2535"/>
    <w:rsid w:val="00AC3141"/>
    <w:rsid w:val="00AC3F4E"/>
    <w:rsid w:val="00AD234F"/>
    <w:rsid w:val="00AD25B2"/>
    <w:rsid w:val="00AD25D4"/>
    <w:rsid w:val="00AD400C"/>
    <w:rsid w:val="00AE2178"/>
    <w:rsid w:val="00AE22B8"/>
    <w:rsid w:val="00AE26DB"/>
    <w:rsid w:val="00AE77F2"/>
    <w:rsid w:val="00AF09F9"/>
    <w:rsid w:val="00AF0AC9"/>
    <w:rsid w:val="00AF28B9"/>
    <w:rsid w:val="00AF5203"/>
    <w:rsid w:val="00AF6607"/>
    <w:rsid w:val="00AF71CA"/>
    <w:rsid w:val="00AF7977"/>
    <w:rsid w:val="00B01615"/>
    <w:rsid w:val="00B017EE"/>
    <w:rsid w:val="00B0190F"/>
    <w:rsid w:val="00B02EF1"/>
    <w:rsid w:val="00B04071"/>
    <w:rsid w:val="00B0464D"/>
    <w:rsid w:val="00B0510A"/>
    <w:rsid w:val="00B053ED"/>
    <w:rsid w:val="00B05CE3"/>
    <w:rsid w:val="00B07A88"/>
    <w:rsid w:val="00B120F9"/>
    <w:rsid w:val="00B121FD"/>
    <w:rsid w:val="00B1228A"/>
    <w:rsid w:val="00B12B8B"/>
    <w:rsid w:val="00B13592"/>
    <w:rsid w:val="00B13D4F"/>
    <w:rsid w:val="00B14383"/>
    <w:rsid w:val="00B16A2D"/>
    <w:rsid w:val="00B248E8"/>
    <w:rsid w:val="00B26434"/>
    <w:rsid w:val="00B26B45"/>
    <w:rsid w:val="00B311F9"/>
    <w:rsid w:val="00B312D8"/>
    <w:rsid w:val="00B330E2"/>
    <w:rsid w:val="00B366E3"/>
    <w:rsid w:val="00B37787"/>
    <w:rsid w:val="00B44346"/>
    <w:rsid w:val="00B45093"/>
    <w:rsid w:val="00B47642"/>
    <w:rsid w:val="00B50545"/>
    <w:rsid w:val="00B531A8"/>
    <w:rsid w:val="00B53CDE"/>
    <w:rsid w:val="00B55239"/>
    <w:rsid w:val="00B560C5"/>
    <w:rsid w:val="00B57AE5"/>
    <w:rsid w:val="00B61764"/>
    <w:rsid w:val="00B652CF"/>
    <w:rsid w:val="00B654A5"/>
    <w:rsid w:val="00B65CA6"/>
    <w:rsid w:val="00B71365"/>
    <w:rsid w:val="00B71385"/>
    <w:rsid w:val="00B72BDB"/>
    <w:rsid w:val="00B74D81"/>
    <w:rsid w:val="00B74DCA"/>
    <w:rsid w:val="00B773E8"/>
    <w:rsid w:val="00B8002F"/>
    <w:rsid w:val="00B800D4"/>
    <w:rsid w:val="00B805B3"/>
    <w:rsid w:val="00B81749"/>
    <w:rsid w:val="00B81823"/>
    <w:rsid w:val="00B82437"/>
    <w:rsid w:val="00B867CA"/>
    <w:rsid w:val="00B87AF1"/>
    <w:rsid w:val="00B90744"/>
    <w:rsid w:val="00B91284"/>
    <w:rsid w:val="00B91C66"/>
    <w:rsid w:val="00B91DDB"/>
    <w:rsid w:val="00B91FBA"/>
    <w:rsid w:val="00B924C9"/>
    <w:rsid w:val="00B92860"/>
    <w:rsid w:val="00B9333D"/>
    <w:rsid w:val="00BA047C"/>
    <w:rsid w:val="00BA1372"/>
    <w:rsid w:val="00BA5D94"/>
    <w:rsid w:val="00BA65B0"/>
    <w:rsid w:val="00BA6CD7"/>
    <w:rsid w:val="00BB0B03"/>
    <w:rsid w:val="00BB3771"/>
    <w:rsid w:val="00BB400E"/>
    <w:rsid w:val="00BB5475"/>
    <w:rsid w:val="00BB58DA"/>
    <w:rsid w:val="00BC0EFB"/>
    <w:rsid w:val="00BC183A"/>
    <w:rsid w:val="00BC222D"/>
    <w:rsid w:val="00BC22BA"/>
    <w:rsid w:val="00BC26AC"/>
    <w:rsid w:val="00BD0D6E"/>
    <w:rsid w:val="00BD0EE0"/>
    <w:rsid w:val="00BD396B"/>
    <w:rsid w:val="00BD6B0E"/>
    <w:rsid w:val="00BE21F4"/>
    <w:rsid w:val="00BE22C8"/>
    <w:rsid w:val="00BE565F"/>
    <w:rsid w:val="00BE5BA9"/>
    <w:rsid w:val="00BE6357"/>
    <w:rsid w:val="00BE7648"/>
    <w:rsid w:val="00BF0B12"/>
    <w:rsid w:val="00BF0CA0"/>
    <w:rsid w:val="00BF3D3B"/>
    <w:rsid w:val="00BF53D7"/>
    <w:rsid w:val="00C01311"/>
    <w:rsid w:val="00C01446"/>
    <w:rsid w:val="00C0174E"/>
    <w:rsid w:val="00C022E0"/>
    <w:rsid w:val="00C033F2"/>
    <w:rsid w:val="00C07C8D"/>
    <w:rsid w:val="00C07FCD"/>
    <w:rsid w:val="00C11F8D"/>
    <w:rsid w:val="00C14A45"/>
    <w:rsid w:val="00C16E80"/>
    <w:rsid w:val="00C20D3C"/>
    <w:rsid w:val="00C22EE2"/>
    <w:rsid w:val="00C26C03"/>
    <w:rsid w:val="00C3291A"/>
    <w:rsid w:val="00C345E3"/>
    <w:rsid w:val="00C36B5B"/>
    <w:rsid w:val="00C37762"/>
    <w:rsid w:val="00C413F7"/>
    <w:rsid w:val="00C4184C"/>
    <w:rsid w:val="00C41DCF"/>
    <w:rsid w:val="00C422B3"/>
    <w:rsid w:val="00C42B12"/>
    <w:rsid w:val="00C45E2A"/>
    <w:rsid w:val="00C46FB7"/>
    <w:rsid w:val="00C476FE"/>
    <w:rsid w:val="00C51E3D"/>
    <w:rsid w:val="00C53657"/>
    <w:rsid w:val="00C547E2"/>
    <w:rsid w:val="00C551E1"/>
    <w:rsid w:val="00C56A07"/>
    <w:rsid w:val="00C56BC5"/>
    <w:rsid w:val="00C60446"/>
    <w:rsid w:val="00C609D1"/>
    <w:rsid w:val="00C60E50"/>
    <w:rsid w:val="00C61E8F"/>
    <w:rsid w:val="00C62066"/>
    <w:rsid w:val="00C634CA"/>
    <w:rsid w:val="00C65ED8"/>
    <w:rsid w:val="00C66179"/>
    <w:rsid w:val="00C66E70"/>
    <w:rsid w:val="00C67DD1"/>
    <w:rsid w:val="00C72BB2"/>
    <w:rsid w:val="00C72F80"/>
    <w:rsid w:val="00C73589"/>
    <w:rsid w:val="00C73DDA"/>
    <w:rsid w:val="00C76B16"/>
    <w:rsid w:val="00C80865"/>
    <w:rsid w:val="00C84164"/>
    <w:rsid w:val="00C84921"/>
    <w:rsid w:val="00C85F4E"/>
    <w:rsid w:val="00C865CF"/>
    <w:rsid w:val="00C86D79"/>
    <w:rsid w:val="00C875A4"/>
    <w:rsid w:val="00C94C1C"/>
    <w:rsid w:val="00C969D6"/>
    <w:rsid w:val="00CA51D7"/>
    <w:rsid w:val="00CA615D"/>
    <w:rsid w:val="00CA6358"/>
    <w:rsid w:val="00CA7541"/>
    <w:rsid w:val="00CA7DD6"/>
    <w:rsid w:val="00CB0939"/>
    <w:rsid w:val="00CB178B"/>
    <w:rsid w:val="00CB3673"/>
    <w:rsid w:val="00CB3C51"/>
    <w:rsid w:val="00CB620D"/>
    <w:rsid w:val="00CB6EA6"/>
    <w:rsid w:val="00CB70A5"/>
    <w:rsid w:val="00CC32DB"/>
    <w:rsid w:val="00CC3AF1"/>
    <w:rsid w:val="00CC4306"/>
    <w:rsid w:val="00CC6B75"/>
    <w:rsid w:val="00CC6FAF"/>
    <w:rsid w:val="00CD1A94"/>
    <w:rsid w:val="00CD2469"/>
    <w:rsid w:val="00CD426F"/>
    <w:rsid w:val="00CE119E"/>
    <w:rsid w:val="00CE3673"/>
    <w:rsid w:val="00CE37B4"/>
    <w:rsid w:val="00CE3E0B"/>
    <w:rsid w:val="00CE5748"/>
    <w:rsid w:val="00CE6137"/>
    <w:rsid w:val="00CE6A6D"/>
    <w:rsid w:val="00CE6DDA"/>
    <w:rsid w:val="00CF0AF8"/>
    <w:rsid w:val="00CF1657"/>
    <w:rsid w:val="00CF276E"/>
    <w:rsid w:val="00CF5BBF"/>
    <w:rsid w:val="00D00E47"/>
    <w:rsid w:val="00D0223E"/>
    <w:rsid w:val="00D02775"/>
    <w:rsid w:val="00D0431D"/>
    <w:rsid w:val="00D04BD8"/>
    <w:rsid w:val="00D078C7"/>
    <w:rsid w:val="00D16835"/>
    <w:rsid w:val="00D20951"/>
    <w:rsid w:val="00D20E22"/>
    <w:rsid w:val="00D21373"/>
    <w:rsid w:val="00D240FC"/>
    <w:rsid w:val="00D243FD"/>
    <w:rsid w:val="00D24747"/>
    <w:rsid w:val="00D31922"/>
    <w:rsid w:val="00D32F7E"/>
    <w:rsid w:val="00D35446"/>
    <w:rsid w:val="00D37D11"/>
    <w:rsid w:val="00D40EC8"/>
    <w:rsid w:val="00D43F99"/>
    <w:rsid w:val="00D45E20"/>
    <w:rsid w:val="00D50CF0"/>
    <w:rsid w:val="00D52938"/>
    <w:rsid w:val="00D579BB"/>
    <w:rsid w:val="00D57D45"/>
    <w:rsid w:val="00D72FBE"/>
    <w:rsid w:val="00D76C52"/>
    <w:rsid w:val="00D76D3D"/>
    <w:rsid w:val="00D85681"/>
    <w:rsid w:val="00D91859"/>
    <w:rsid w:val="00D91CB2"/>
    <w:rsid w:val="00D94AE8"/>
    <w:rsid w:val="00D95425"/>
    <w:rsid w:val="00D95D3C"/>
    <w:rsid w:val="00D96F09"/>
    <w:rsid w:val="00DA0A70"/>
    <w:rsid w:val="00DA64F0"/>
    <w:rsid w:val="00DA6A4D"/>
    <w:rsid w:val="00DA7C23"/>
    <w:rsid w:val="00DB221F"/>
    <w:rsid w:val="00DB397D"/>
    <w:rsid w:val="00DB43B8"/>
    <w:rsid w:val="00DB529B"/>
    <w:rsid w:val="00DB545D"/>
    <w:rsid w:val="00DB6027"/>
    <w:rsid w:val="00DB641D"/>
    <w:rsid w:val="00DC2692"/>
    <w:rsid w:val="00DC367A"/>
    <w:rsid w:val="00DC3B2E"/>
    <w:rsid w:val="00DC4FCF"/>
    <w:rsid w:val="00DC729A"/>
    <w:rsid w:val="00DC7604"/>
    <w:rsid w:val="00DD1CA9"/>
    <w:rsid w:val="00DD6C03"/>
    <w:rsid w:val="00DE0894"/>
    <w:rsid w:val="00DE1565"/>
    <w:rsid w:val="00DE1821"/>
    <w:rsid w:val="00DE2004"/>
    <w:rsid w:val="00DE26B4"/>
    <w:rsid w:val="00DE2DE1"/>
    <w:rsid w:val="00DE6BC7"/>
    <w:rsid w:val="00DF0DBA"/>
    <w:rsid w:val="00DF2E8C"/>
    <w:rsid w:val="00DF73EB"/>
    <w:rsid w:val="00E00A0E"/>
    <w:rsid w:val="00E02E22"/>
    <w:rsid w:val="00E03395"/>
    <w:rsid w:val="00E03CA1"/>
    <w:rsid w:val="00E04205"/>
    <w:rsid w:val="00E107C8"/>
    <w:rsid w:val="00E10840"/>
    <w:rsid w:val="00E16254"/>
    <w:rsid w:val="00E1645F"/>
    <w:rsid w:val="00E17813"/>
    <w:rsid w:val="00E201C8"/>
    <w:rsid w:val="00E20E16"/>
    <w:rsid w:val="00E214F9"/>
    <w:rsid w:val="00E237A7"/>
    <w:rsid w:val="00E23A8D"/>
    <w:rsid w:val="00E2486F"/>
    <w:rsid w:val="00E262EA"/>
    <w:rsid w:val="00E31E3F"/>
    <w:rsid w:val="00E3398D"/>
    <w:rsid w:val="00E341BA"/>
    <w:rsid w:val="00E34557"/>
    <w:rsid w:val="00E3497C"/>
    <w:rsid w:val="00E36B98"/>
    <w:rsid w:val="00E37920"/>
    <w:rsid w:val="00E4117C"/>
    <w:rsid w:val="00E45C18"/>
    <w:rsid w:val="00E4657B"/>
    <w:rsid w:val="00E469C4"/>
    <w:rsid w:val="00E47B2C"/>
    <w:rsid w:val="00E509FC"/>
    <w:rsid w:val="00E50F6D"/>
    <w:rsid w:val="00E53C1A"/>
    <w:rsid w:val="00E543CB"/>
    <w:rsid w:val="00E55BB5"/>
    <w:rsid w:val="00E57569"/>
    <w:rsid w:val="00E645CC"/>
    <w:rsid w:val="00E646AC"/>
    <w:rsid w:val="00E70654"/>
    <w:rsid w:val="00E72953"/>
    <w:rsid w:val="00E75402"/>
    <w:rsid w:val="00E757EC"/>
    <w:rsid w:val="00E76DBC"/>
    <w:rsid w:val="00E77DB9"/>
    <w:rsid w:val="00E80412"/>
    <w:rsid w:val="00E82EB4"/>
    <w:rsid w:val="00E83AB4"/>
    <w:rsid w:val="00E91083"/>
    <w:rsid w:val="00E91579"/>
    <w:rsid w:val="00E938E2"/>
    <w:rsid w:val="00E942B3"/>
    <w:rsid w:val="00E95A5A"/>
    <w:rsid w:val="00E97429"/>
    <w:rsid w:val="00EA4728"/>
    <w:rsid w:val="00EA4B55"/>
    <w:rsid w:val="00EA5B29"/>
    <w:rsid w:val="00EA5E76"/>
    <w:rsid w:val="00EA6103"/>
    <w:rsid w:val="00EA6B09"/>
    <w:rsid w:val="00EB0272"/>
    <w:rsid w:val="00EB03E2"/>
    <w:rsid w:val="00EB2FE7"/>
    <w:rsid w:val="00EB467E"/>
    <w:rsid w:val="00EB4B0C"/>
    <w:rsid w:val="00EB53A5"/>
    <w:rsid w:val="00EB6C72"/>
    <w:rsid w:val="00EB6E5A"/>
    <w:rsid w:val="00EB74A5"/>
    <w:rsid w:val="00EB79AD"/>
    <w:rsid w:val="00EC222D"/>
    <w:rsid w:val="00EC330A"/>
    <w:rsid w:val="00EC560C"/>
    <w:rsid w:val="00EC5975"/>
    <w:rsid w:val="00ED2992"/>
    <w:rsid w:val="00ED5DC1"/>
    <w:rsid w:val="00ED7F59"/>
    <w:rsid w:val="00EE18F1"/>
    <w:rsid w:val="00EE252E"/>
    <w:rsid w:val="00EE4C6F"/>
    <w:rsid w:val="00EE573B"/>
    <w:rsid w:val="00EF14E7"/>
    <w:rsid w:val="00EF33F5"/>
    <w:rsid w:val="00EF3B24"/>
    <w:rsid w:val="00EF510F"/>
    <w:rsid w:val="00EF59AC"/>
    <w:rsid w:val="00EF6205"/>
    <w:rsid w:val="00F00144"/>
    <w:rsid w:val="00F009BF"/>
    <w:rsid w:val="00F027F8"/>
    <w:rsid w:val="00F03E07"/>
    <w:rsid w:val="00F04444"/>
    <w:rsid w:val="00F065A8"/>
    <w:rsid w:val="00F07683"/>
    <w:rsid w:val="00F11262"/>
    <w:rsid w:val="00F11372"/>
    <w:rsid w:val="00F12BBD"/>
    <w:rsid w:val="00F146C2"/>
    <w:rsid w:val="00F20C61"/>
    <w:rsid w:val="00F21F4B"/>
    <w:rsid w:val="00F21FF1"/>
    <w:rsid w:val="00F22834"/>
    <w:rsid w:val="00F22893"/>
    <w:rsid w:val="00F235E3"/>
    <w:rsid w:val="00F247EA"/>
    <w:rsid w:val="00F248CB"/>
    <w:rsid w:val="00F27E8F"/>
    <w:rsid w:val="00F3018B"/>
    <w:rsid w:val="00F31A55"/>
    <w:rsid w:val="00F35152"/>
    <w:rsid w:val="00F35361"/>
    <w:rsid w:val="00F4017C"/>
    <w:rsid w:val="00F41C9E"/>
    <w:rsid w:val="00F43B0A"/>
    <w:rsid w:val="00F440C4"/>
    <w:rsid w:val="00F442F5"/>
    <w:rsid w:val="00F46708"/>
    <w:rsid w:val="00F47559"/>
    <w:rsid w:val="00F476CF"/>
    <w:rsid w:val="00F5352D"/>
    <w:rsid w:val="00F570A5"/>
    <w:rsid w:val="00F61409"/>
    <w:rsid w:val="00F619A4"/>
    <w:rsid w:val="00F61CB5"/>
    <w:rsid w:val="00F62D9C"/>
    <w:rsid w:val="00F6339D"/>
    <w:rsid w:val="00F634DA"/>
    <w:rsid w:val="00F63A98"/>
    <w:rsid w:val="00F64467"/>
    <w:rsid w:val="00F678DA"/>
    <w:rsid w:val="00F7190D"/>
    <w:rsid w:val="00F71FA4"/>
    <w:rsid w:val="00F73387"/>
    <w:rsid w:val="00F73ADA"/>
    <w:rsid w:val="00F74E8E"/>
    <w:rsid w:val="00F773FF"/>
    <w:rsid w:val="00F80801"/>
    <w:rsid w:val="00F8159A"/>
    <w:rsid w:val="00F846E9"/>
    <w:rsid w:val="00F84C1C"/>
    <w:rsid w:val="00F84D28"/>
    <w:rsid w:val="00F86ADD"/>
    <w:rsid w:val="00F87571"/>
    <w:rsid w:val="00F9132A"/>
    <w:rsid w:val="00F9137D"/>
    <w:rsid w:val="00F94032"/>
    <w:rsid w:val="00F9537E"/>
    <w:rsid w:val="00F97571"/>
    <w:rsid w:val="00FA3D55"/>
    <w:rsid w:val="00FA493E"/>
    <w:rsid w:val="00FA4FBC"/>
    <w:rsid w:val="00FA6095"/>
    <w:rsid w:val="00FA7766"/>
    <w:rsid w:val="00FB0A76"/>
    <w:rsid w:val="00FB1AC4"/>
    <w:rsid w:val="00FB49EF"/>
    <w:rsid w:val="00FB51E1"/>
    <w:rsid w:val="00FB5955"/>
    <w:rsid w:val="00FB6160"/>
    <w:rsid w:val="00FB727C"/>
    <w:rsid w:val="00FB779C"/>
    <w:rsid w:val="00FC01AC"/>
    <w:rsid w:val="00FC1914"/>
    <w:rsid w:val="00FC6236"/>
    <w:rsid w:val="00FC68AC"/>
    <w:rsid w:val="00FD1D0E"/>
    <w:rsid w:val="00FD3F83"/>
    <w:rsid w:val="00FD5AC1"/>
    <w:rsid w:val="00FD6F66"/>
    <w:rsid w:val="00FE0BF6"/>
    <w:rsid w:val="00FE0D30"/>
    <w:rsid w:val="00FE1879"/>
    <w:rsid w:val="00FE4559"/>
    <w:rsid w:val="00FE4C8A"/>
    <w:rsid w:val="00FE53F4"/>
    <w:rsid w:val="00FE552D"/>
    <w:rsid w:val="00FF20EA"/>
    <w:rsid w:val="00FF27B0"/>
    <w:rsid w:val="00FF3F59"/>
    <w:rsid w:val="00FF48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662F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21479B"/>
    <w:rPr>
      <w:b/>
      <w:bCs/>
      <w:color w:val="19194B"/>
      <w:sz w:val="23"/>
      <w:szCs w:val="23"/>
      <w:bdr w:val="none" w:sz="0" w:space="0" w:color="auto" w:frame="1"/>
    </w:rPr>
  </w:style>
  <w:style w:type="table" w:styleId="Tabellenraster">
    <w:name w:val="Table Grid"/>
    <w:basedOn w:val="NormaleTabelle"/>
    <w:rsid w:val="0021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E03395"/>
    <w:rPr>
      <w:sz w:val="20"/>
    </w:rPr>
  </w:style>
  <w:style w:type="character" w:customStyle="1" w:styleId="EndnotentextZchn">
    <w:name w:val="Endnotentext Zchn"/>
    <w:link w:val="Endnotentext"/>
    <w:rsid w:val="00E03395"/>
    <w:rPr>
      <w:lang w:val="en-GB" w:eastAsia="en-US"/>
    </w:rPr>
  </w:style>
  <w:style w:type="character" w:styleId="Endnotenzeichen">
    <w:name w:val="endnote reference"/>
    <w:rsid w:val="00E03395"/>
    <w:rPr>
      <w:vertAlign w:val="superscript"/>
    </w:rPr>
  </w:style>
  <w:style w:type="character" w:styleId="Kommentarzeichen">
    <w:name w:val="annotation reference"/>
    <w:rsid w:val="00962BBF"/>
    <w:rPr>
      <w:sz w:val="16"/>
      <w:szCs w:val="16"/>
    </w:rPr>
  </w:style>
  <w:style w:type="paragraph" w:styleId="Kommentartext">
    <w:name w:val="annotation text"/>
    <w:basedOn w:val="Standard"/>
    <w:link w:val="KommentartextZchn"/>
    <w:rsid w:val="00962BBF"/>
    <w:rPr>
      <w:sz w:val="20"/>
    </w:rPr>
  </w:style>
  <w:style w:type="character" w:customStyle="1" w:styleId="KommentartextZchn">
    <w:name w:val="Kommentartext Zchn"/>
    <w:link w:val="Kommentartext"/>
    <w:rsid w:val="00962BBF"/>
    <w:rPr>
      <w:lang w:val="en-GB" w:eastAsia="en-US"/>
    </w:rPr>
  </w:style>
  <w:style w:type="paragraph" w:styleId="Kommentarthema">
    <w:name w:val="annotation subject"/>
    <w:basedOn w:val="Kommentartext"/>
    <w:next w:val="Kommentartext"/>
    <w:link w:val="KommentarthemaZchn"/>
    <w:rsid w:val="00962BBF"/>
    <w:rPr>
      <w:b/>
      <w:bCs/>
    </w:rPr>
  </w:style>
  <w:style w:type="character" w:customStyle="1" w:styleId="KommentarthemaZchn">
    <w:name w:val="Kommentarthema Zchn"/>
    <w:link w:val="Kommentarthema"/>
    <w:rsid w:val="00962BBF"/>
    <w:rPr>
      <w:b/>
      <w:bCs/>
      <w:lang w:val="en-GB" w:eastAsia="en-US"/>
    </w:rPr>
  </w:style>
  <w:style w:type="paragraph" w:styleId="berarbeitung">
    <w:name w:val="Revision"/>
    <w:hidden/>
    <w:uiPriority w:val="99"/>
    <w:semiHidden/>
    <w:rsid w:val="00962BBF"/>
    <w:rPr>
      <w:sz w:val="24"/>
      <w:lang w:val="en-GB" w:eastAsia="en-US"/>
    </w:rPr>
  </w:style>
  <w:style w:type="paragraph" w:styleId="Listenabsatz">
    <w:name w:val="List Paragraph"/>
    <w:basedOn w:val="Standard"/>
    <w:uiPriority w:val="34"/>
    <w:qFormat/>
    <w:rsid w:val="0060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923800256">
      <w:bodyDiv w:val="1"/>
      <w:marLeft w:val="0"/>
      <w:marRight w:val="0"/>
      <w:marTop w:val="0"/>
      <w:marBottom w:val="0"/>
      <w:divBdr>
        <w:top w:val="none" w:sz="0" w:space="0" w:color="auto"/>
        <w:left w:val="none" w:sz="0" w:space="0" w:color="auto"/>
        <w:bottom w:val="none" w:sz="0" w:space="0" w:color="auto"/>
        <w:right w:val="none" w:sz="0" w:space="0" w:color="auto"/>
      </w:divBdr>
    </w:div>
    <w:div w:id="1785492703">
      <w:bodyDiv w:val="1"/>
      <w:marLeft w:val="0"/>
      <w:marRight w:val="0"/>
      <w:marTop w:val="0"/>
      <w:marBottom w:val="0"/>
      <w:divBdr>
        <w:top w:val="none" w:sz="0" w:space="0" w:color="auto"/>
        <w:left w:val="none" w:sz="0" w:space="0" w:color="auto"/>
        <w:bottom w:val="none" w:sz="0" w:space="0" w:color="auto"/>
        <w:right w:val="none" w:sz="0" w:space="0" w:color="auto"/>
      </w:divBdr>
    </w:div>
    <w:div w:id="2015759262">
      <w:bodyDiv w:val="1"/>
      <w:marLeft w:val="0"/>
      <w:marRight w:val="0"/>
      <w:marTop w:val="0"/>
      <w:marBottom w:val="0"/>
      <w:divBdr>
        <w:top w:val="none" w:sz="0" w:space="0" w:color="auto"/>
        <w:left w:val="none" w:sz="0" w:space="0" w:color="auto"/>
        <w:bottom w:val="none" w:sz="0" w:space="0" w:color="auto"/>
        <w:right w:val="none" w:sz="0" w:space="0" w:color="auto"/>
      </w:divBdr>
    </w:div>
    <w:div w:id="202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528B-8886-4418-9A2C-D20890CB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9251</Characters>
  <Application>Microsoft Office Word</Application>
  <DocSecurity>2</DocSecurity>
  <Lines>77</Lines>
  <Paragraphs>21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10781</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2023-07-13T12:02:00Z</dcterms:created>
  <dcterms:modified xsi:type="dcterms:W3CDTF">2023-07-25T16:39:00Z</dcterms:modified>
</cp:coreProperties>
</file>