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E521" w14:textId="77777777" w:rsidR="00754E62" w:rsidRPr="00FA27CB" w:rsidRDefault="00754E62" w:rsidP="00754E62">
      <w:pPr>
        <w:tabs>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Financial year 2017: MTU Aero Engines AG once again posts record figures</w:t>
      </w:r>
    </w:p>
    <w:p w14:paraId="11CEDC9C" w14:textId="77777777" w:rsidR="00754E62" w:rsidRPr="00FA27CB" w:rsidRDefault="00754E62" w:rsidP="00754E62">
      <w:pPr>
        <w:numPr>
          <w:ilvl w:val="0"/>
          <w:numId w:val="7"/>
        </w:numPr>
        <w:tabs>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Earnings forecast for 2017 fully met</w:t>
      </w:r>
    </w:p>
    <w:p w14:paraId="47F21A4C" w14:textId="77777777" w:rsidR="00754E62" w:rsidRPr="00FA27CB" w:rsidRDefault="00754E62" w:rsidP="00754E62">
      <w:pPr>
        <w:numPr>
          <w:ilvl w:val="0"/>
          <w:numId w:val="7"/>
        </w:numPr>
        <w:tabs>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Outlook for 2018: Moderate earnings increase, cash conversion rate in the mid-double-digit percentage range</w:t>
      </w:r>
    </w:p>
    <w:p w14:paraId="2DE7B658" w14:textId="77777777" w:rsidR="00754E62" w:rsidRPr="009A51BD" w:rsidRDefault="00754E62" w:rsidP="00754E62">
      <w:pPr>
        <w:tabs>
          <w:tab w:val="left" w:pos="9072"/>
        </w:tabs>
        <w:spacing w:line="300" w:lineRule="exact"/>
        <w:ind w:right="283"/>
        <w:jc w:val="both"/>
        <w:rPr>
          <w:rFonts w:ascii="CorpoS" w:hAnsi="CorpoS"/>
          <w:b/>
          <w:sz w:val="22"/>
          <w:szCs w:val="22"/>
          <w:lang w:val="en-US"/>
        </w:rPr>
      </w:pPr>
    </w:p>
    <w:p w14:paraId="2D4B148D" w14:textId="77777777" w:rsidR="00754E62" w:rsidRPr="00FA27CB" w:rsidRDefault="00754E62" w:rsidP="00754E62">
      <w:pPr>
        <w:tabs>
          <w:tab w:val="left" w:pos="7655"/>
          <w:tab w:val="left" w:pos="9072"/>
        </w:tabs>
        <w:spacing w:line="300" w:lineRule="exact"/>
        <w:ind w:right="283"/>
        <w:jc w:val="both"/>
        <w:rPr>
          <w:rFonts w:ascii="CorpoS" w:hAnsi="CorpoS"/>
          <w:i/>
          <w:sz w:val="22"/>
          <w:szCs w:val="22"/>
          <w:lang w:val="en-US"/>
        </w:rPr>
      </w:pPr>
      <w:r w:rsidRPr="00FA27CB">
        <w:rPr>
          <w:rFonts w:ascii="CorpoS" w:hAnsi="CorpoS"/>
          <w:i/>
          <w:sz w:val="22"/>
          <w:szCs w:val="22"/>
          <w:lang w:val="en-US"/>
        </w:rPr>
        <w:t>- Provisional figures – subject to approval by the Supervisory Board -</w:t>
      </w:r>
    </w:p>
    <w:p w14:paraId="3460431C" w14:textId="77777777" w:rsidR="00754E62" w:rsidRPr="009A51BD" w:rsidRDefault="00754E62" w:rsidP="00754E62">
      <w:pPr>
        <w:tabs>
          <w:tab w:val="left" w:pos="9072"/>
        </w:tabs>
        <w:spacing w:line="300" w:lineRule="exact"/>
        <w:ind w:right="283"/>
        <w:jc w:val="both"/>
        <w:rPr>
          <w:rFonts w:ascii="CorpoS" w:hAnsi="CorpoS"/>
          <w:b/>
          <w:sz w:val="22"/>
          <w:szCs w:val="22"/>
          <w:lang w:val="en-US"/>
        </w:rPr>
      </w:pPr>
    </w:p>
    <w:p w14:paraId="6BFB5380"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Munich, February 21, 2018 – MTU Aero Engines AG once again set new records in the financial year 2017. Revenues increased by 6 % from € 4,732.7 million in 2016 to a new high of € 5,036.3 million. Operating profit</w:t>
      </w:r>
      <w:r w:rsidRPr="00FA27CB">
        <w:rPr>
          <w:rStyle w:val="Funotenzeichen"/>
          <w:rFonts w:ascii="CorpoS" w:hAnsi="CorpoS"/>
          <w:b/>
          <w:sz w:val="22"/>
          <w:szCs w:val="22"/>
          <w:lang w:val="en-US"/>
        </w:rPr>
        <w:footnoteReference w:id="1"/>
      </w:r>
      <w:r w:rsidRPr="00FA27CB">
        <w:rPr>
          <w:rFonts w:ascii="CorpoS" w:hAnsi="CorpoS"/>
          <w:sz w:val="22"/>
          <w:szCs w:val="22"/>
          <w:lang w:val="en-US"/>
        </w:rPr>
        <w:t xml:space="preserve"> reached a new record level of € 606.6 million, beating the previous year’s result by 21 % (2016: € 503.0 million). Earnings after tax</w:t>
      </w:r>
      <w:r w:rsidRPr="00FA27CB">
        <w:rPr>
          <w:rStyle w:val="Funotenzeichen"/>
          <w:rFonts w:ascii="CorpoS" w:hAnsi="CorpoS"/>
          <w:b/>
          <w:sz w:val="22"/>
          <w:szCs w:val="22"/>
          <w:lang w:val="en-US"/>
        </w:rPr>
        <w:footnoteReference w:id="2"/>
      </w:r>
      <w:r w:rsidRPr="00FA27CB">
        <w:rPr>
          <w:rFonts w:ascii="CorpoS" w:hAnsi="CorpoS"/>
          <w:sz w:val="22"/>
          <w:szCs w:val="22"/>
          <w:lang w:val="en-US"/>
        </w:rPr>
        <w:t xml:space="preserve"> surpassed the previous record of € 345.4 million, set in 2016, growing by 24 % to € 429.1 million.</w:t>
      </w:r>
    </w:p>
    <w:p w14:paraId="23BF3689" w14:textId="77777777" w:rsidR="00754E62" w:rsidRPr="009A51BD" w:rsidRDefault="00754E62" w:rsidP="00754E62">
      <w:pPr>
        <w:tabs>
          <w:tab w:val="left" w:pos="7655"/>
          <w:tab w:val="left" w:pos="9072"/>
        </w:tabs>
        <w:spacing w:line="300" w:lineRule="exact"/>
        <w:ind w:right="283"/>
        <w:jc w:val="both"/>
        <w:rPr>
          <w:rFonts w:ascii="CorpoS" w:hAnsi="CorpoS"/>
          <w:sz w:val="22"/>
          <w:szCs w:val="22"/>
          <w:lang w:val="en-US"/>
        </w:rPr>
      </w:pPr>
    </w:p>
    <w:p w14:paraId="799BE1EF" w14:textId="65F624B4"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“We took advantage of the favorable market environment in 2017 to drive profitable growth in both of our operating segments – OEM and MRO. All in all, our performance figures even surpassed the pr</w:t>
      </w:r>
      <w:r w:rsidRPr="00FA27CB">
        <w:rPr>
          <w:rFonts w:ascii="CorpoS" w:hAnsi="CorpoS"/>
          <w:sz w:val="22"/>
          <w:szCs w:val="22"/>
          <w:lang w:val="en-US"/>
        </w:rPr>
        <w:t>o</w:t>
      </w:r>
      <w:r w:rsidRPr="00FA27CB">
        <w:rPr>
          <w:rFonts w:ascii="CorpoS" w:hAnsi="CorpoS"/>
          <w:sz w:val="22"/>
          <w:szCs w:val="22"/>
          <w:lang w:val="en-US"/>
        </w:rPr>
        <w:t>jected earnings that we revised upward for the second time in October,” said Reiner Winkler, CEO of MTU Aero Engines AG, summing up the provisional annual results for 2017 at a presentation on Wednesday,</w:t>
      </w:r>
      <w:r w:rsidR="00995F4D">
        <w:rPr>
          <w:rFonts w:ascii="CorpoS" w:hAnsi="CorpoS"/>
          <w:sz w:val="22"/>
          <w:szCs w:val="22"/>
          <w:lang w:val="en-US"/>
        </w:rPr>
        <w:t xml:space="preserve"> February 21, 2018. MTU had expected </w:t>
      </w:r>
      <w:r w:rsidR="005653EB">
        <w:rPr>
          <w:rFonts w:ascii="CorpoS" w:hAnsi="CorpoS"/>
          <w:sz w:val="22"/>
          <w:szCs w:val="22"/>
          <w:lang w:val="en-US"/>
        </w:rPr>
        <w:t xml:space="preserve">to </w:t>
      </w:r>
      <w:r w:rsidRPr="00FA27CB">
        <w:rPr>
          <w:rFonts w:ascii="CorpoS" w:hAnsi="CorpoS"/>
          <w:sz w:val="22"/>
          <w:szCs w:val="22"/>
          <w:lang w:val="en-US"/>
        </w:rPr>
        <w:t>generat</w:t>
      </w:r>
      <w:r w:rsidR="005653EB">
        <w:rPr>
          <w:rFonts w:ascii="CorpoS" w:hAnsi="CorpoS"/>
          <w:sz w:val="22"/>
          <w:szCs w:val="22"/>
          <w:lang w:val="en-US"/>
        </w:rPr>
        <w:t>e</w:t>
      </w:r>
      <w:bookmarkStart w:id="0" w:name="_GoBack"/>
      <w:bookmarkEnd w:id="0"/>
      <w:r w:rsidRPr="00FA27CB">
        <w:rPr>
          <w:rFonts w:ascii="CorpoS" w:hAnsi="CorpoS"/>
          <w:sz w:val="22"/>
          <w:szCs w:val="22"/>
          <w:lang w:val="en-US"/>
        </w:rPr>
        <w:t xml:space="preserve"> revenues of around € 5.1 billion in 2017. The earnings forecasts were for an adjusted EBIT of approximately € 600 million and an adjus</w:t>
      </w:r>
      <w:r w:rsidRPr="00FA27CB">
        <w:rPr>
          <w:rFonts w:ascii="CorpoS" w:hAnsi="CorpoS"/>
          <w:sz w:val="22"/>
          <w:szCs w:val="22"/>
          <w:lang w:val="en-US"/>
        </w:rPr>
        <w:t>t</w:t>
      </w:r>
      <w:r w:rsidRPr="00FA27CB">
        <w:rPr>
          <w:rFonts w:ascii="CorpoS" w:hAnsi="CorpoS"/>
          <w:sz w:val="22"/>
          <w:szCs w:val="22"/>
          <w:lang w:val="en-US"/>
        </w:rPr>
        <w:t>ed net income of approximately € 420 million. 2018 marks the transition from the inves</w:t>
      </w:r>
      <w:r w:rsidRPr="00FA27CB">
        <w:rPr>
          <w:rFonts w:ascii="CorpoS" w:hAnsi="CorpoS"/>
          <w:sz w:val="22"/>
          <w:szCs w:val="22"/>
          <w:lang w:val="en-US"/>
        </w:rPr>
        <w:t>t</w:t>
      </w:r>
      <w:r w:rsidRPr="00FA27CB">
        <w:rPr>
          <w:rFonts w:ascii="CorpoS" w:hAnsi="CorpoS"/>
          <w:sz w:val="22"/>
          <w:szCs w:val="22"/>
          <w:lang w:val="en-US"/>
        </w:rPr>
        <w:t>ment phase to the consolidation phase. “In the current financial year, we are aiming at continued growth,” said Winkler.</w:t>
      </w:r>
    </w:p>
    <w:p w14:paraId="6C37888E"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p>
    <w:p w14:paraId="297E9DA8" w14:textId="6B46AAF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 xml:space="preserve">As of 2018, MTU is applying the new IFRS 15 accounting standard, which will lead to a reduction in reported revenues. For the financial year 2017, MTU expects revenues </w:t>
      </w:r>
      <w:r>
        <w:rPr>
          <w:rFonts w:ascii="CorpoS" w:hAnsi="CorpoS"/>
          <w:sz w:val="22"/>
          <w:szCs w:val="22"/>
          <w:lang w:val="en-US"/>
        </w:rPr>
        <w:t>to amount to</w:t>
      </w:r>
      <w:r w:rsidRPr="00FA27CB">
        <w:rPr>
          <w:rFonts w:ascii="CorpoS" w:hAnsi="CorpoS"/>
          <w:sz w:val="22"/>
          <w:szCs w:val="22"/>
          <w:lang w:val="en-US"/>
        </w:rPr>
        <w:t xml:space="preserve"> € 3.65 billion </w:t>
      </w:r>
      <w:r w:rsidR="00393322">
        <w:rPr>
          <w:rFonts w:ascii="CorpoS" w:hAnsi="CorpoS"/>
          <w:sz w:val="22"/>
          <w:szCs w:val="22"/>
          <w:lang w:val="en-US"/>
        </w:rPr>
        <w:br w:type="textWrapping" w:clear="all"/>
      </w:r>
      <w:r w:rsidRPr="00FA27CB">
        <w:rPr>
          <w:rFonts w:ascii="CorpoS" w:hAnsi="CorpoS"/>
          <w:sz w:val="22"/>
          <w:szCs w:val="22"/>
          <w:lang w:val="en-US"/>
        </w:rPr>
        <w:t>after applying IFRS 15. Operating profit in 2017 is likely to be slightly lower as a result of application of IFRS 15, at around € 570 million.</w:t>
      </w:r>
    </w:p>
    <w:p w14:paraId="7973096C" w14:textId="77777777" w:rsidR="00754E62" w:rsidRPr="00FA27CB" w:rsidRDefault="00754E62" w:rsidP="00754E62">
      <w:pPr>
        <w:tabs>
          <w:tab w:val="left" w:pos="7655"/>
          <w:tab w:val="left" w:pos="9072"/>
        </w:tabs>
        <w:spacing w:line="300" w:lineRule="exact"/>
        <w:ind w:right="283"/>
        <w:jc w:val="both"/>
        <w:rPr>
          <w:rFonts w:ascii="CorpoS" w:hAnsi="CorpoS"/>
          <w:b/>
          <w:sz w:val="22"/>
          <w:szCs w:val="22"/>
          <w:lang w:val="en-US"/>
        </w:rPr>
      </w:pPr>
    </w:p>
    <w:p w14:paraId="4D3D7ACE" w14:textId="77777777" w:rsidR="00754E62" w:rsidRPr="00FA27CB" w:rsidRDefault="00754E62" w:rsidP="00754E62">
      <w:pPr>
        <w:tabs>
          <w:tab w:val="left" w:pos="7655"/>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Outlook for 2018</w:t>
      </w:r>
    </w:p>
    <w:p w14:paraId="4A9D135E" w14:textId="1119C869" w:rsidR="00754E62" w:rsidRPr="00FA27CB" w:rsidRDefault="00754E62" w:rsidP="00754E62">
      <w:pPr>
        <w:tabs>
          <w:tab w:val="left" w:pos="7655"/>
          <w:tab w:val="left" w:pos="7938"/>
        </w:tabs>
        <w:spacing w:line="300" w:lineRule="exact"/>
        <w:ind w:right="283"/>
        <w:jc w:val="both"/>
        <w:rPr>
          <w:rFonts w:ascii="CorpoS" w:hAnsi="CorpoS"/>
          <w:sz w:val="22"/>
          <w:szCs w:val="22"/>
          <w:lang w:val="en-US"/>
        </w:rPr>
      </w:pPr>
      <w:r w:rsidRPr="00FA27CB">
        <w:rPr>
          <w:rFonts w:ascii="CorpoS" w:hAnsi="CorpoS"/>
          <w:sz w:val="22"/>
          <w:szCs w:val="22"/>
          <w:lang w:val="en-US"/>
        </w:rPr>
        <w:t>In 2018, commercial series production business looks set to become the fastest growing segment with an increase in revenues of around 30 % in U.S.-dollar terms. “This positive trend is driven by the Geared Turbofan™ programs, growth of which is expected to peak this year,” said Winkler. Continued growth is also projected for the commercial MRO and spare parts business. MTU’s revenue forecast for its commercial maintenance business (MRO segment), expressed in U.S. dollars, is for a growth rate in the high teens, while spare parts</w:t>
      </w:r>
      <w:r>
        <w:rPr>
          <w:rFonts w:ascii="CorpoS" w:hAnsi="CorpoS"/>
          <w:sz w:val="22"/>
          <w:szCs w:val="22"/>
          <w:lang w:val="en-US"/>
        </w:rPr>
        <w:t xml:space="preserve"> sales</w:t>
      </w:r>
      <w:r w:rsidRPr="00FA27CB">
        <w:rPr>
          <w:rFonts w:ascii="CorpoS" w:hAnsi="CorpoS"/>
          <w:sz w:val="22"/>
          <w:szCs w:val="22"/>
          <w:lang w:val="en-US"/>
        </w:rPr>
        <w:t xml:space="preserve"> are expected to increase by a mid-single-digit percen</w:t>
      </w:r>
      <w:r w:rsidRPr="00FA27CB">
        <w:rPr>
          <w:rFonts w:ascii="CorpoS" w:hAnsi="CorpoS"/>
          <w:sz w:val="22"/>
          <w:szCs w:val="22"/>
          <w:lang w:val="en-US"/>
        </w:rPr>
        <w:t>t</w:t>
      </w:r>
      <w:r w:rsidRPr="00FA27CB">
        <w:rPr>
          <w:rFonts w:ascii="CorpoS" w:hAnsi="CorpoS"/>
          <w:sz w:val="22"/>
          <w:szCs w:val="22"/>
          <w:lang w:val="en-US"/>
        </w:rPr>
        <w:t xml:space="preserve">age. Revenues in MTU’s military engine business are likely to remain at the same level as in 2017. “This shows that our business success is unbroken,” added CFO Peter </w:t>
      </w:r>
      <w:proofErr w:type="spellStart"/>
      <w:r w:rsidRPr="00FA27CB">
        <w:rPr>
          <w:rFonts w:ascii="CorpoS" w:hAnsi="CorpoS"/>
          <w:sz w:val="22"/>
          <w:szCs w:val="22"/>
          <w:lang w:val="en-US"/>
        </w:rPr>
        <w:t>Kameritsch</w:t>
      </w:r>
      <w:proofErr w:type="spellEnd"/>
      <w:r w:rsidRPr="00FA27CB">
        <w:rPr>
          <w:rFonts w:ascii="CorpoS" w:hAnsi="CorpoS"/>
          <w:sz w:val="22"/>
          <w:szCs w:val="22"/>
          <w:lang w:val="en-US"/>
        </w:rPr>
        <w:t>. Despite the eno</w:t>
      </w:r>
      <w:r w:rsidRPr="00FA27CB">
        <w:rPr>
          <w:rFonts w:ascii="CorpoS" w:hAnsi="CorpoS"/>
          <w:sz w:val="22"/>
          <w:szCs w:val="22"/>
          <w:lang w:val="en-US"/>
        </w:rPr>
        <w:t>r</w:t>
      </w:r>
      <w:r w:rsidRPr="00FA27CB">
        <w:rPr>
          <w:rFonts w:ascii="CorpoS" w:hAnsi="CorpoS"/>
          <w:sz w:val="22"/>
          <w:szCs w:val="22"/>
          <w:lang w:val="en-US"/>
        </w:rPr>
        <w:lastRenderedPageBreak/>
        <w:t xml:space="preserve">mous production ramp-up, MTU is forecasting a moderate increase in adjusted EBIT for 2018 (2017: </w:t>
      </w:r>
      <w:r w:rsidR="00393322">
        <w:rPr>
          <w:rFonts w:ascii="CorpoS" w:hAnsi="CorpoS"/>
          <w:sz w:val="22"/>
          <w:szCs w:val="22"/>
          <w:lang w:val="en-US"/>
        </w:rPr>
        <w:br w:type="textWrapping" w:clear="all"/>
      </w:r>
      <w:r w:rsidRPr="00FA27CB">
        <w:rPr>
          <w:rFonts w:ascii="CorpoS" w:hAnsi="CorpoS"/>
          <w:sz w:val="22"/>
          <w:szCs w:val="22"/>
          <w:lang w:val="en-US"/>
        </w:rPr>
        <w:t>€ 606.6 million), and expects earnings after tax to increase in line with the operating profit (adjusted net income, 2017: € 429.1 million). The cash conversion rate, defined as the ratio between free cash flow and adjusted net income, is projected to be slightly higher in 2018 than in the previous year (2017: 35 %), in the mid-double-digit percentage range.</w:t>
      </w:r>
    </w:p>
    <w:p w14:paraId="06FCD186" w14:textId="77777777" w:rsidR="00754E62" w:rsidRPr="00FA27CB" w:rsidRDefault="00754E62" w:rsidP="00754E62">
      <w:pPr>
        <w:tabs>
          <w:tab w:val="left" w:pos="7655"/>
          <w:tab w:val="left" w:pos="7938"/>
        </w:tabs>
        <w:spacing w:line="300" w:lineRule="exact"/>
        <w:ind w:right="283"/>
        <w:jc w:val="both"/>
        <w:rPr>
          <w:rFonts w:ascii="CorpoS" w:hAnsi="CorpoS"/>
          <w:sz w:val="22"/>
          <w:szCs w:val="22"/>
          <w:lang w:val="en-US"/>
        </w:rPr>
      </w:pPr>
    </w:p>
    <w:p w14:paraId="2BFEA306" w14:textId="77777777" w:rsidR="00754E62" w:rsidRPr="00FA27CB" w:rsidRDefault="00754E62" w:rsidP="00754E62">
      <w:pPr>
        <w:tabs>
          <w:tab w:val="left" w:pos="7655"/>
          <w:tab w:val="left" w:pos="7938"/>
        </w:tabs>
        <w:spacing w:line="300" w:lineRule="exact"/>
        <w:ind w:right="283"/>
        <w:jc w:val="both"/>
        <w:rPr>
          <w:rFonts w:ascii="CorpoS" w:hAnsi="CorpoS"/>
          <w:sz w:val="22"/>
          <w:szCs w:val="22"/>
          <w:lang w:val="en-US"/>
        </w:rPr>
      </w:pPr>
      <w:r w:rsidRPr="00FA27CB">
        <w:rPr>
          <w:rFonts w:ascii="CorpoS" w:hAnsi="CorpoS"/>
          <w:sz w:val="22"/>
          <w:szCs w:val="22"/>
          <w:lang w:val="en-US"/>
        </w:rPr>
        <w:t>MTU’s forecast is based on the assumption that the technical problems encountered in February with regard to PW1100G-JM engines for the Airbus A320neo can be rectified in the short term and will not jeopardize the GTF delivery targets.</w:t>
      </w:r>
    </w:p>
    <w:p w14:paraId="62C0F080" w14:textId="77777777" w:rsidR="00754E62" w:rsidRPr="00A45CB9" w:rsidRDefault="00754E62" w:rsidP="00754E62">
      <w:pPr>
        <w:tabs>
          <w:tab w:val="left" w:pos="7655"/>
          <w:tab w:val="left" w:pos="9072"/>
        </w:tabs>
        <w:spacing w:line="300" w:lineRule="exact"/>
        <w:ind w:right="283"/>
        <w:jc w:val="both"/>
        <w:rPr>
          <w:rFonts w:ascii="CorpoS" w:hAnsi="CorpoS"/>
          <w:sz w:val="22"/>
          <w:szCs w:val="22"/>
          <w:lang w:val="en-US"/>
        </w:rPr>
      </w:pPr>
    </w:p>
    <w:p w14:paraId="1ED737BE" w14:textId="77777777" w:rsidR="00754E62" w:rsidRPr="00FA27CB" w:rsidRDefault="00754E62" w:rsidP="00754E62">
      <w:pPr>
        <w:tabs>
          <w:tab w:val="left" w:pos="7655"/>
          <w:tab w:val="left" w:pos="7938"/>
        </w:tabs>
        <w:spacing w:line="300" w:lineRule="exact"/>
        <w:ind w:right="283"/>
        <w:jc w:val="both"/>
        <w:rPr>
          <w:rFonts w:ascii="CorpoS" w:hAnsi="CorpoS"/>
          <w:b/>
          <w:sz w:val="22"/>
          <w:szCs w:val="22"/>
          <w:lang w:val="en-US"/>
        </w:rPr>
      </w:pPr>
      <w:r w:rsidRPr="00FA27CB">
        <w:rPr>
          <w:rFonts w:ascii="CorpoS" w:hAnsi="CorpoS"/>
          <w:b/>
          <w:sz w:val="22"/>
          <w:szCs w:val="22"/>
          <w:lang w:val="en-US"/>
        </w:rPr>
        <w:t>Steep rise in commercial maintenance revenues</w:t>
      </w:r>
    </w:p>
    <w:p w14:paraId="41823450" w14:textId="77777777" w:rsidR="00754E62" w:rsidRPr="00FA27CB" w:rsidRDefault="00754E62" w:rsidP="00754E62">
      <w:pPr>
        <w:spacing w:line="300" w:lineRule="exact"/>
        <w:ind w:right="283"/>
        <w:jc w:val="both"/>
        <w:rPr>
          <w:rFonts w:ascii="CorpoS" w:hAnsi="CorpoS"/>
          <w:sz w:val="22"/>
          <w:szCs w:val="22"/>
          <w:lang w:val="en-US"/>
        </w:rPr>
      </w:pPr>
      <w:r w:rsidRPr="00FA27CB">
        <w:rPr>
          <w:rFonts w:ascii="CorpoS" w:hAnsi="CorpoS"/>
          <w:sz w:val="22"/>
          <w:szCs w:val="22"/>
          <w:lang w:val="en-US"/>
        </w:rPr>
        <w:t>In 2017, the commercial maintenance business achieved the highest growth rate in terms of rev</w:t>
      </w:r>
      <w:r w:rsidRPr="00FA27CB">
        <w:rPr>
          <w:rFonts w:ascii="CorpoS" w:hAnsi="CorpoS"/>
          <w:sz w:val="22"/>
          <w:szCs w:val="22"/>
          <w:lang w:val="en-US"/>
        </w:rPr>
        <w:t>e</w:t>
      </w:r>
      <w:r w:rsidRPr="00FA27CB">
        <w:rPr>
          <w:rFonts w:ascii="CorpoS" w:hAnsi="CorpoS"/>
          <w:sz w:val="22"/>
          <w:szCs w:val="22"/>
          <w:lang w:val="en-US"/>
        </w:rPr>
        <w:t>nues, which increased by 19 % to € 2,285.3 million (2016: € 1,914.4 million). This growth was driven mainly by the V2500 engine for the Airbus A320, followed by the CF34 family of regional and business jet engines. “The revenue distribution reflects the high capacity utilization levels at all maintenance locations,” added Winkler.</w:t>
      </w:r>
    </w:p>
    <w:p w14:paraId="3B1DB50F" w14:textId="77777777" w:rsidR="00754E62" w:rsidRPr="00FA27CB" w:rsidRDefault="00754E62" w:rsidP="00754E62">
      <w:pPr>
        <w:spacing w:line="300" w:lineRule="exact"/>
        <w:ind w:right="283"/>
        <w:jc w:val="both"/>
        <w:rPr>
          <w:rFonts w:ascii="CorpoS" w:hAnsi="CorpoS"/>
          <w:sz w:val="22"/>
          <w:szCs w:val="22"/>
          <w:lang w:val="en-US"/>
        </w:rPr>
      </w:pPr>
    </w:p>
    <w:p w14:paraId="7DB7CBAC" w14:textId="77777777" w:rsidR="00754E62" w:rsidRPr="00FA27CB" w:rsidRDefault="00754E62" w:rsidP="00754E62">
      <w:pPr>
        <w:spacing w:line="300" w:lineRule="exact"/>
        <w:ind w:right="283"/>
        <w:jc w:val="both"/>
        <w:rPr>
          <w:rFonts w:ascii="CorpoS" w:hAnsi="CorpoS"/>
          <w:sz w:val="22"/>
          <w:szCs w:val="22"/>
          <w:lang w:val="en-US"/>
        </w:rPr>
      </w:pPr>
      <w:r w:rsidRPr="00FA27CB">
        <w:rPr>
          <w:rFonts w:ascii="CorpoS" w:hAnsi="CorpoS"/>
          <w:sz w:val="22"/>
          <w:szCs w:val="22"/>
          <w:lang w:val="en-US"/>
        </w:rPr>
        <w:t>In the commercial engine business, MTU generated revenues of € 2,469.4 million (2016: € 2,401.2 million</w:t>
      </w:r>
      <w:r>
        <w:rPr>
          <w:rFonts w:ascii="CorpoS" w:hAnsi="CorpoS"/>
          <w:sz w:val="22"/>
          <w:szCs w:val="22"/>
          <w:lang w:val="en-US"/>
        </w:rPr>
        <w:t>)</w:t>
      </w:r>
      <w:r w:rsidRPr="00FA27CB">
        <w:rPr>
          <w:rFonts w:ascii="CorpoS" w:hAnsi="CorpoS"/>
          <w:sz w:val="22"/>
          <w:szCs w:val="22"/>
          <w:lang w:val="en-US"/>
        </w:rPr>
        <w:t xml:space="preserve">. The major part of these revenues was attributable to the V2500, the </w:t>
      </w:r>
      <w:proofErr w:type="spellStart"/>
      <w:r w:rsidRPr="00FA27CB">
        <w:rPr>
          <w:rFonts w:ascii="CorpoS" w:hAnsi="CorpoS"/>
          <w:sz w:val="22"/>
          <w:szCs w:val="22"/>
          <w:lang w:val="en-US"/>
        </w:rPr>
        <w:t>GEnx</w:t>
      </w:r>
      <w:proofErr w:type="spellEnd"/>
      <w:r w:rsidRPr="00FA27CB">
        <w:rPr>
          <w:rFonts w:ascii="CorpoS" w:hAnsi="CorpoS"/>
          <w:sz w:val="22"/>
          <w:szCs w:val="22"/>
          <w:lang w:val="en-US"/>
        </w:rPr>
        <w:t xml:space="preserve"> for the Boeing 787 and 747-8 and the PW1100G-JM engine for the Airbus A320neo.</w:t>
      </w:r>
    </w:p>
    <w:p w14:paraId="0F0D93C7" w14:textId="77777777" w:rsidR="00754E62" w:rsidRPr="00FA27CB" w:rsidRDefault="00754E62" w:rsidP="00754E62">
      <w:pPr>
        <w:spacing w:line="300" w:lineRule="exact"/>
        <w:ind w:right="283"/>
        <w:jc w:val="both"/>
        <w:rPr>
          <w:rFonts w:ascii="CorpoS" w:hAnsi="CorpoS"/>
          <w:sz w:val="22"/>
          <w:szCs w:val="22"/>
          <w:lang w:val="en-US"/>
        </w:rPr>
      </w:pPr>
    </w:p>
    <w:p w14:paraId="16EAEA60" w14:textId="77777777" w:rsidR="00754E62" w:rsidRPr="00FA27CB" w:rsidRDefault="00754E62" w:rsidP="00754E62">
      <w:pPr>
        <w:spacing w:line="300" w:lineRule="exact"/>
        <w:ind w:right="283"/>
        <w:jc w:val="both"/>
        <w:rPr>
          <w:rFonts w:ascii="CorpoS" w:hAnsi="CorpoS"/>
          <w:sz w:val="22"/>
          <w:szCs w:val="22"/>
          <w:lang w:val="en-US"/>
        </w:rPr>
      </w:pPr>
      <w:r w:rsidRPr="00FA27CB">
        <w:rPr>
          <w:rFonts w:ascii="CorpoS" w:hAnsi="CorpoS"/>
          <w:sz w:val="22"/>
          <w:szCs w:val="22"/>
          <w:lang w:val="en-US"/>
        </w:rPr>
        <w:t>Revenues in the military engine business decreased by 20 % from € 504.0 million to € 404.3 million. The main source of these revenues was the EJ200 Eurofighter</w:t>
      </w:r>
      <w:r>
        <w:rPr>
          <w:rFonts w:ascii="CorpoS" w:hAnsi="CorpoS"/>
          <w:sz w:val="22"/>
          <w:szCs w:val="22"/>
          <w:lang w:val="en-US"/>
        </w:rPr>
        <w:t xml:space="preserve"> </w:t>
      </w:r>
      <w:r w:rsidRPr="00FA27CB">
        <w:rPr>
          <w:rFonts w:ascii="CorpoS" w:hAnsi="CorpoS"/>
          <w:sz w:val="22"/>
          <w:szCs w:val="22"/>
          <w:lang w:val="en-US"/>
        </w:rPr>
        <w:t>engine.</w:t>
      </w:r>
    </w:p>
    <w:p w14:paraId="4D2E1760" w14:textId="77777777" w:rsidR="00754E62" w:rsidRPr="00FA27CB" w:rsidRDefault="00754E62" w:rsidP="00754E62">
      <w:pPr>
        <w:spacing w:line="300" w:lineRule="exact"/>
        <w:ind w:right="283"/>
        <w:jc w:val="both"/>
        <w:rPr>
          <w:rFonts w:ascii="CorpoS" w:hAnsi="CorpoS"/>
          <w:sz w:val="22"/>
          <w:szCs w:val="22"/>
          <w:lang w:val="en-US"/>
        </w:rPr>
      </w:pPr>
    </w:p>
    <w:p w14:paraId="7C43A80C" w14:textId="77777777" w:rsidR="00754E62" w:rsidRPr="00FA27CB" w:rsidRDefault="00754E62" w:rsidP="00754E62">
      <w:pPr>
        <w:tabs>
          <w:tab w:val="left" w:pos="7655"/>
          <w:tab w:val="left" w:pos="7938"/>
        </w:tabs>
        <w:spacing w:line="300" w:lineRule="exact"/>
        <w:ind w:right="283"/>
        <w:jc w:val="both"/>
        <w:rPr>
          <w:rFonts w:ascii="CorpoS" w:hAnsi="CorpoS"/>
          <w:b/>
          <w:sz w:val="22"/>
          <w:szCs w:val="22"/>
          <w:lang w:val="en-US"/>
        </w:rPr>
      </w:pPr>
      <w:r w:rsidRPr="00FA27CB">
        <w:rPr>
          <w:rFonts w:ascii="CorpoS" w:hAnsi="CorpoS"/>
          <w:b/>
          <w:sz w:val="22"/>
          <w:szCs w:val="22"/>
          <w:lang w:val="en-US"/>
        </w:rPr>
        <w:t xml:space="preserve">Order backlog at € </w:t>
      </w:r>
      <w:r w:rsidRPr="00FA27CB">
        <w:rPr>
          <w:rFonts w:ascii="CorpoS" w:hAnsi="CorpoS" w:cs="Arial"/>
          <w:b/>
          <w:sz w:val="22"/>
          <w:szCs w:val="22"/>
          <w:lang w:val="en-US"/>
        </w:rPr>
        <w:t xml:space="preserve">13,224.7 </w:t>
      </w:r>
      <w:r w:rsidRPr="00FA27CB">
        <w:rPr>
          <w:rFonts w:ascii="CorpoS" w:hAnsi="CorpoS"/>
          <w:b/>
          <w:sz w:val="22"/>
          <w:szCs w:val="22"/>
          <w:lang w:val="en-US"/>
        </w:rPr>
        <w:t>million</w:t>
      </w:r>
    </w:p>
    <w:p w14:paraId="4A92BCF5" w14:textId="3DA81446"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 xml:space="preserve">MTU’s order backlog decreased from € 14,172.2 million in 2016 to € </w:t>
      </w:r>
      <w:r w:rsidRPr="00FA27CB">
        <w:rPr>
          <w:rFonts w:ascii="CorpoS" w:hAnsi="CorpoS" w:cs="Arial"/>
          <w:sz w:val="22"/>
          <w:szCs w:val="22"/>
          <w:lang w:val="en-US"/>
        </w:rPr>
        <w:t xml:space="preserve">13,224.7 </w:t>
      </w:r>
      <w:r w:rsidRPr="00FA27CB">
        <w:rPr>
          <w:rFonts w:ascii="CorpoS" w:hAnsi="CorpoS"/>
          <w:sz w:val="22"/>
          <w:szCs w:val="22"/>
          <w:lang w:val="en-US"/>
        </w:rPr>
        <w:t>million in 2017. “The</w:t>
      </w:r>
      <w:r>
        <w:rPr>
          <w:rFonts w:ascii="CorpoS" w:hAnsi="CorpoS"/>
          <w:sz w:val="22"/>
          <w:szCs w:val="22"/>
          <w:lang w:val="en-US"/>
        </w:rPr>
        <w:t>se</w:t>
      </w:r>
      <w:r w:rsidRPr="00FA27CB">
        <w:rPr>
          <w:rFonts w:ascii="CorpoS" w:hAnsi="CorpoS"/>
          <w:sz w:val="22"/>
          <w:szCs w:val="22"/>
          <w:lang w:val="en-US"/>
        </w:rPr>
        <w:t xml:space="preserve"> figures reflect the weaker U.S. dollar exchange rate against the euro and the effects of working off the </w:t>
      </w:r>
      <w:r w:rsidR="00FC2FBD">
        <w:rPr>
          <w:rFonts w:ascii="CorpoS" w:hAnsi="CorpoS"/>
          <w:sz w:val="22"/>
          <w:szCs w:val="22"/>
          <w:lang w:val="en-US"/>
        </w:rPr>
        <w:t>previous year’s record</w:t>
      </w:r>
      <w:r w:rsidRPr="00FA27CB">
        <w:rPr>
          <w:rFonts w:ascii="CorpoS" w:hAnsi="CorpoS"/>
          <w:sz w:val="22"/>
          <w:szCs w:val="22"/>
          <w:lang w:val="en-US"/>
        </w:rPr>
        <w:t xml:space="preserve"> order backlog,” commented Winkler. The V2500 </w:t>
      </w:r>
      <w:r>
        <w:rPr>
          <w:rFonts w:ascii="CorpoS" w:hAnsi="CorpoS"/>
          <w:sz w:val="22"/>
          <w:szCs w:val="22"/>
          <w:lang w:val="en-US"/>
        </w:rPr>
        <w:t>engine and the Geared Turb</w:t>
      </w:r>
      <w:r>
        <w:rPr>
          <w:rFonts w:ascii="CorpoS" w:hAnsi="CorpoS"/>
          <w:sz w:val="22"/>
          <w:szCs w:val="22"/>
          <w:lang w:val="en-US"/>
        </w:rPr>
        <w:t>o</w:t>
      </w:r>
      <w:r>
        <w:rPr>
          <w:rFonts w:ascii="CorpoS" w:hAnsi="CorpoS"/>
          <w:sz w:val="22"/>
          <w:szCs w:val="22"/>
          <w:lang w:val="en-US"/>
        </w:rPr>
        <w:t xml:space="preserve">fan™ </w:t>
      </w:r>
      <w:r w:rsidRPr="00FA27CB">
        <w:rPr>
          <w:rFonts w:ascii="CorpoS" w:hAnsi="CorpoS"/>
          <w:sz w:val="22"/>
          <w:szCs w:val="22"/>
          <w:lang w:val="en-US"/>
        </w:rPr>
        <w:t>engines in the PW1000G family, in particular the PW1100G-JM, account for the highest number of orders in the current backlog.</w:t>
      </w:r>
    </w:p>
    <w:p w14:paraId="7A67F2B8" w14:textId="77777777" w:rsidR="00754E62" w:rsidRPr="00FA27CB" w:rsidRDefault="00754E62" w:rsidP="00754E62">
      <w:pPr>
        <w:tabs>
          <w:tab w:val="left" w:pos="7655"/>
          <w:tab w:val="left" w:pos="9072"/>
        </w:tabs>
        <w:spacing w:line="300" w:lineRule="exact"/>
        <w:ind w:right="283"/>
        <w:jc w:val="both"/>
        <w:rPr>
          <w:rFonts w:ascii="CorpoS" w:hAnsi="CorpoS"/>
          <w:b/>
          <w:sz w:val="22"/>
          <w:szCs w:val="22"/>
          <w:lang w:val="en-US"/>
        </w:rPr>
      </w:pPr>
    </w:p>
    <w:p w14:paraId="00D77662" w14:textId="77777777" w:rsidR="00754E62" w:rsidRPr="00FA27CB" w:rsidRDefault="00754E62" w:rsidP="00754E62">
      <w:pPr>
        <w:tabs>
          <w:tab w:val="left" w:pos="7655"/>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Higher earnings in all business units</w:t>
      </w:r>
    </w:p>
    <w:p w14:paraId="64E5328A" w14:textId="252A0F3B" w:rsidR="00754E62" w:rsidRPr="00A45CB9" w:rsidRDefault="00754E62" w:rsidP="00754E62">
      <w:pPr>
        <w:tabs>
          <w:tab w:val="left" w:pos="7655"/>
          <w:tab w:val="left" w:pos="9072"/>
        </w:tabs>
        <w:spacing w:line="300" w:lineRule="exact"/>
        <w:ind w:right="283"/>
        <w:jc w:val="both"/>
        <w:rPr>
          <w:rFonts w:ascii="CorpoS" w:hAnsi="CorpoS"/>
          <w:b/>
          <w:sz w:val="22"/>
          <w:szCs w:val="22"/>
          <w:lang w:val="en-US"/>
        </w:rPr>
      </w:pPr>
      <w:r w:rsidRPr="00FA27CB">
        <w:rPr>
          <w:rFonts w:ascii="CorpoS" w:hAnsi="CorpoS"/>
          <w:sz w:val="22"/>
          <w:szCs w:val="22"/>
          <w:lang w:val="en-US"/>
        </w:rPr>
        <w:t xml:space="preserve">The increase in earnings in the financial year 2017 was mainly attributable to the significant earnings growth of 28 % to € 412.2 million (2016: € 321.5 million) posted in the OEM segment. The EBIT </w:t>
      </w:r>
      <w:r w:rsidR="00393322">
        <w:rPr>
          <w:rFonts w:ascii="CorpoS" w:hAnsi="CorpoS"/>
          <w:sz w:val="22"/>
          <w:szCs w:val="22"/>
          <w:lang w:val="en-US"/>
        </w:rPr>
        <w:br w:type="textWrapping" w:clear="all"/>
      </w:r>
      <w:r w:rsidRPr="00FA27CB">
        <w:rPr>
          <w:rFonts w:ascii="CorpoS" w:hAnsi="CorpoS"/>
          <w:sz w:val="22"/>
          <w:szCs w:val="22"/>
          <w:lang w:val="en-US"/>
        </w:rPr>
        <w:t>margin increased from 11.1 % to 14.3 %. “Thus, despite the substantial increase in the number of GTF deliveries in the fourth quarter, the margin was at an exceptionally high level,” said Winkler. “In par</w:t>
      </w:r>
      <w:r w:rsidRPr="00FA27CB">
        <w:rPr>
          <w:rFonts w:ascii="CorpoS" w:hAnsi="CorpoS"/>
          <w:sz w:val="22"/>
          <w:szCs w:val="22"/>
          <w:lang w:val="en-US"/>
        </w:rPr>
        <w:t>t</w:t>
      </w:r>
      <w:r w:rsidRPr="00FA27CB">
        <w:rPr>
          <w:rFonts w:ascii="CorpoS" w:hAnsi="CorpoS"/>
          <w:sz w:val="22"/>
          <w:szCs w:val="22"/>
          <w:lang w:val="en-US"/>
        </w:rPr>
        <w:t>nership with Pratt &amp; Whitney, we delivered 374 Geared Turbofan™ engines to customers last year and thus met our delivery target.”</w:t>
      </w:r>
    </w:p>
    <w:p w14:paraId="47D0C707" w14:textId="77777777" w:rsidR="00754E62" w:rsidRPr="00A45CB9" w:rsidRDefault="00754E62" w:rsidP="00754E62">
      <w:pPr>
        <w:tabs>
          <w:tab w:val="left" w:pos="7655"/>
          <w:tab w:val="left" w:pos="9072"/>
        </w:tabs>
        <w:spacing w:line="300" w:lineRule="exact"/>
        <w:ind w:right="283"/>
        <w:jc w:val="both"/>
        <w:rPr>
          <w:rFonts w:ascii="CorpoS" w:hAnsi="CorpoS"/>
          <w:sz w:val="22"/>
          <w:szCs w:val="22"/>
          <w:lang w:val="en-US"/>
        </w:rPr>
      </w:pPr>
    </w:p>
    <w:p w14:paraId="2F703641" w14:textId="2515CA1A"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lastRenderedPageBreak/>
        <w:t>In the MRO segment, adjusted EBIT rose by 7 % to € 194.4 million (2016: € 181.5 million). The EBIT margin in this segment decreased from 9.5 % in the previous year to 8.5 %.</w:t>
      </w:r>
    </w:p>
    <w:p w14:paraId="7EDE25DD"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p>
    <w:p w14:paraId="2B5F8FB7" w14:textId="77777777" w:rsidR="00754E62" w:rsidRPr="00FA27CB" w:rsidRDefault="00754E62" w:rsidP="00754E62">
      <w:pPr>
        <w:tabs>
          <w:tab w:val="left" w:pos="7655"/>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Dividend proposal to be announced on February 27</w:t>
      </w:r>
    </w:p>
    <w:p w14:paraId="0C191FB3"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“In keeping with our established dividend policy, we naturally intend to continue</w:t>
      </w:r>
      <w:r>
        <w:rPr>
          <w:rFonts w:ascii="CorpoS" w:hAnsi="CorpoS"/>
          <w:sz w:val="22"/>
          <w:szCs w:val="22"/>
          <w:lang w:val="en-US"/>
        </w:rPr>
        <w:t xml:space="preserve"> offering our investors an</w:t>
      </w:r>
      <w:r w:rsidRPr="00FA27CB">
        <w:rPr>
          <w:rFonts w:ascii="CorpoS" w:hAnsi="CorpoS"/>
          <w:sz w:val="22"/>
          <w:szCs w:val="22"/>
          <w:lang w:val="en-US"/>
        </w:rPr>
        <w:t xml:space="preserve"> appropriate share of our earnings, which again reached record levels in 2017,” said </w:t>
      </w:r>
      <w:proofErr w:type="spellStart"/>
      <w:r w:rsidRPr="00FA27CB">
        <w:rPr>
          <w:rFonts w:ascii="CorpoS" w:hAnsi="CorpoS"/>
          <w:sz w:val="22"/>
          <w:szCs w:val="22"/>
          <w:lang w:val="en-US"/>
        </w:rPr>
        <w:t>Kameritsch</w:t>
      </w:r>
      <w:proofErr w:type="spellEnd"/>
      <w:r w:rsidRPr="00FA27CB">
        <w:rPr>
          <w:rFonts w:ascii="CorpoS" w:hAnsi="CorpoS"/>
          <w:sz w:val="22"/>
          <w:szCs w:val="22"/>
          <w:lang w:val="en-US"/>
        </w:rPr>
        <w:t>. “We will therefore recommend that at its meeting of February 27 to approve the financial statements of the company, the Supervisory Board propose that the Annual General Meeting pass a resolution to pay a dividend of € 2.30 per share for the financial year 2017.” MTU distributed a dividend of € 1.90 per share for 2016.</w:t>
      </w:r>
    </w:p>
    <w:p w14:paraId="3AE1BCB1"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p>
    <w:p w14:paraId="0110A1A7" w14:textId="77777777" w:rsidR="00754E62" w:rsidRPr="00FA27CB" w:rsidRDefault="00754E62" w:rsidP="00754E62">
      <w:pPr>
        <w:tabs>
          <w:tab w:val="left" w:pos="7655"/>
          <w:tab w:val="left" w:pos="7938"/>
        </w:tabs>
        <w:spacing w:line="300" w:lineRule="exact"/>
        <w:ind w:right="283"/>
        <w:jc w:val="both"/>
        <w:rPr>
          <w:rFonts w:ascii="CorpoS" w:hAnsi="CorpoS"/>
          <w:b/>
          <w:sz w:val="22"/>
          <w:szCs w:val="22"/>
          <w:lang w:val="en-US"/>
        </w:rPr>
      </w:pPr>
      <w:r w:rsidRPr="00FA27CB">
        <w:rPr>
          <w:rFonts w:ascii="CorpoS" w:hAnsi="CorpoS"/>
          <w:b/>
          <w:sz w:val="22"/>
          <w:szCs w:val="22"/>
          <w:lang w:val="en-US"/>
        </w:rPr>
        <w:t>Research and development</w:t>
      </w:r>
    </w:p>
    <w:p w14:paraId="761644DA" w14:textId="59970EEB" w:rsidR="00754E62" w:rsidRPr="00FA27CB" w:rsidRDefault="00754E62" w:rsidP="00754E62">
      <w:pPr>
        <w:tabs>
          <w:tab w:val="left" w:pos="7655"/>
          <w:tab w:val="left" w:pos="7938"/>
        </w:tabs>
        <w:spacing w:line="300" w:lineRule="exact"/>
        <w:ind w:right="283"/>
        <w:jc w:val="both"/>
        <w:rPr>
          <w:rFonts w:ascii="CorpoS" w:hAnsi="CorpoS"/>
          <w:sz w:val="22"/>
          <w:szCs w:val="22"/>
          <w:lang w:val="en-US"/>
        </w:rPr>
      </w:pPr>
      <w:r w:rsidRPr="00FA27CB">
        <w:rPr>
          <w:rFonts w:ascii="CorpoS" w:hAnsi="CorpoS"/>
          <w:sz w:val="22"/>
          <w:szCs w:val="22"/>
          <w:lang w:val="en-US"/>
        </w:rPr>
        <w:t>At € 199.7</w:t>
      </w:r>
      <w:r>
        <w:rPr>
          <w:rFonts w:ascii="CorpoS" w:hAnsi="CorpoS"/>
          <w:sz w:val="22"/>
          <w:szCs w:val="22"/>
          <w:lang w:val="en-US"/>
        </w:rPr>
        <w:t xml:space="preserve"> million</w:t>
      </w:r>
      <w:r w:rsidRPr="00FA27CB">
        <w:rPr>
          <w:rFonts w:ascii="CorpoS" w:hAnsi="CorpoS"/>
          <w:sz w:val="22"/>
          <w:szCs w:val="22"/>
          <w:lang w:val="en-US"/>
        </w:rPr>
        <w:t xml:space="preserve">, MTU’s R&amp;D expenditure in 2017 was lower than in the previous year (2016: </w:t>
      </w:r>
      <w:r w:rsidR="00393322">
        <w:rPr>
          <w:rFonts w:ascii="CorpoS" w:hAnsi="CorpoS"/>
          <w:sz w:val="22"/>
          <w:szCs w:val="22"/>
          <w:lang w:val="en-US"/>
        </w:rPr>
        <w:br w:type="textWrapping" w:clear="all"/>
      </w:r>
      <w:r w:rsidRPr="00FA27CB">
        <w:rPr>
          <w:rFonts w:ascii="CorpoS" w:hAnsi="CorpoS"/>
          <w:sz w:val="22"/>
          <w:szCs w:val="22"/>
          <w:lang w:val="en-US"/>
        </w:rPr>
        <w:t xml:space="preserve">€ 208.6 million). </w:t>
      </w:r>
      <w:r>
        <w:rPr>
          <w:rFonts w:ascii="CorpoS" w:hAnsi="CorpoS"/>
          <w:sz w:val="22"/>
          <w:szCs w:val="22"/>
          <w:lang w:val="en-US"/>
        </w:rPr>
        <w:t>R</w:t>
      </w:r>
      <w:r w:rsidRPr="00FA27CB">
        <w:rPr>
          <w:rFonts w:ascii="CorpoS" w:hAnsi="CorpoS"/>
          <w:sz w:val="22"/>
          <w:szCs w:val="22"/>
          <w:lang w:val="en-US"/>
        </w:rPr>
        <w:t>esearch and development activities focused on the Geared Turbofan™ programs and future enhancements, the GE9X engine for the Boeing 777X and technology studies relating to future-generation engine design.</w:t>
      </w:r>
    </w:p>
    <w:p w14:paraId="4F5C6072"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p>
    <w:p w14:paraId="25ECE762" w14:textId="77777777" w:rsidR="00754E62" w:rsidRPr="00FA27CB" w:rsidRDefault="00754E62" w:rsidP="00754E62">
      <w:pPr>
        <w:tabs>
          <w:tab w:val="left" w:pos="7655"/>
          <w:tab w:val="left" w:pos="9072"/>
        </w:tabs>
        <w:spacing w:line="300" w:lineRule="exact"/>
        <w:ind w:right="283"/>
        <w:jc w:val="both"/>
        <w:rPr>
          <w:rFonts w:ascii="CorpoS" w:hAnsi="CorpoS"/>
          <w:b/>
          <w:sz w:val="22"/>
          <w:szCs w:val="22"/>
          <w:lang w:val="en-US"/>
        </w:rPr>
      </w:pPr>
      <w:r w:rsidRPr="00FA27CB">
        <w:rPr>
          <w:rFonts w:ascii="CorpoS" w:hAnsi="CorpoS"/>
          <w:b/>
          <w:sz w:val="22"/>
          <w:szCs w:val="22"/>
          <w:lang w:val="en-US"/>
        </w:rPr>
        <w:t>Free cash flow of € 151.1 million</w:t>
      </w:r>
    </w:p>
    <w:p w14:paraId="0C7558A5" w14:textId="77777777"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 xml:space="preserve">MTU’s free cash flow increased by 84 % from € 82.0 million in 2016 to € 151.1 million in 2017. “This result is better than we expected,” commented </w:t>
      </w:r>
      <w:proofErr w:type="spellStart"/>
      <w:r w:rsidRPr="00FA27CB">
        <w:rPr>
          <w:rFonts w:ascii="CorpoS" w:hAnsi="CorpoS"/>
          <w:sz w:val="22"/>
          <w:szCs w:val="22"/>
          <w:lang w:val="en-US"/>
        </w:rPr>
        <w:t>Kameritsch</w:t>
      </w:r>
      <w:proofErr w:type="spellEnd"/>
      <w:r w:rsidRPr="00FA27CB">
        <w:rPr>
          <w:rFonts w:ascii="CorpoS" w:hAnsi="CorpoS"/>
          <w:sz w:val="22"/>
          <w:szCs w:val="22"/>
          <w:lang w:val="en-US"/>
        </w:rPr>
        <w:t>. The company had forecast a free cash flow in the region of € 140 million.</w:t>
      </w:r>
    </w:p>
    <w:p w14:paraId="0CD674B5" w14:textId="77777777" w:rsidR="00754E62" w:rsidRPr="00FA27CB" w:rsidRDefault="00754E62" w:rsidP="00754E62">
      <w:pPr>
        <w:tabs>
          <w:tab w:val="left" w:pos="7655"/>
          <w:tab w:val="left" w:pos="7938"/>
        </w:tabs>
        <w:spacing w:line="300" w:lineRule="exact"/>
        <w:ind w:right="283"/>
        <w:jc w:val="both"/>
        <w:rPr>
          <w:rFonts w:ascii="CorpoS" w:hAnsi="CorpoS"/>
          <w:sz w:val="22"/>
          <w:szCs w:val="22"/>
          <w:lang w:val="en-US"/>
        </w:rPr>
      </w:pPr>
    </w:p>
    <w:p w14:paraId="1A47F12A" w14:textId="77777777" w:rsidR="00754E62" w:rsidRPr="00FA27CB" w:rsidRDefault="00754E62" w:rsidP="00754E62">
      <w:pPr>
        <w:tabs>
          <w:tab w:val="left" w:pos="7655"/>
          <w:tab w:val="left" w:pos="7938"/>
        </w:tabs>
        <w:spacing w:line="300" w:lineRule="exact"/>
        <w:ind w:right="283"/>
        <w:jc w:val="both"/>
        <w:rPr>
          <w:rFonts w:ascii="CorpoS" w:hAnsi="CorpoS"/>
          <w:b/>
          <w:sz w:val="22"/>
          <w:szCs w:val="22"/>
          <w:lang w:val="en-US"/>
        </w:rPr>
      </w:pPr>
      <w:r w:rsidRPr="00FA27CB">
        <w:rPr>
          <w:rFonts w:ascii="CorpoS" w:hAnsi="CorpoS"/>
          <w:b/>
          <w:sz w:val="22"/>
          <w:szCs w:val="22"/>
          <w:lang w:val="en-US"/>
        </w:rPr>
        <w:t>Investment in property, plant and equipment up 22 %</w:t>
      </w:r>
    </w:p>
    <w:p w14:paraId="54FB8E94" w14:textId="132427F6" w:rsidR="00754E62" w:rsidRPr="00FA27CB" w:rsidRDefault="00754E62" w:rsidP="00754E62">
      <w:pPr>
        <w:tabs>
          <w:tab w:val="left" w:pos="7655"/>
          <w:tab w:val="left" w:pos="9072"/>
        </w:tabs>
        <w:spacing w:line="300" w:lineRule="exact"/>
        <w:ind w:right="283"/>
        <w:jc w:val="both"/>
        <w:rPr>
          <w:rFonts w:ascii="CorpoS" w:hAnsi="CorpoS"/>
          <w:sz w:val="22"/>
          <w:szCs w:val="22"/>
          <w:lang w:val="en-US"/>
        </w:rPr>
      </w:pPr>
      <w:r w:rsidRPr="00FA27CB">
        <w:rPr>
          <w:rFonts w:ascii="CorpoS" w:hAnsi="CorpoS"/>
          <w:sz w:val="22"/>
          <w:szCs w:val="22"/>
          <w:lang w:val="en-US"/>
        </w:rPr>
        <w:t xml:space="preserve">In 2017, MTU invested € 188.1 million in property, plant and equipment, up by 22 % compared with the previous year (2016: € 154.7 million). The funds were used mainly for lease engines and the </w:t>
      </w:r>
      <w:r w:rsidR="00393322">
        <w:rPr>
          <w:rFonts w:ascii="CorpoS" w:hAnsi="CorpoS"/>
          <w:sz w:val="22"/>
          <w:szCs w:val="22"/>
          <w:lang w:val="en-US"/>
        </w:rPr>
        <w:br w:type="textWrapping" w:clear="all"/>
      </w:r>
      <w:r w:rsidRPr="00FA27CB">
        <w:rPr>
          <w:rFonts w:ascii="CorpoS" w:hAnsi="CorpoS"/>
          <w:sz w:val="22"/>
          <w:szCs w:val="22"/>
          <w:lang w:val="en-US"/>
        </w:rPr>
        <w:t>extension of the program portfolio in the commercial maintenance segment.</w:t>
      </w:r>
    </w:p>
    <w:p w14:paraId="5199B80E" w14:textId="77777777" w:rsidR="00754E62" w:rsidRPr="00FA27CB" w:rsidRDefault="00754E62" w:rsidP="00754E62">
      <w:pPr>
        <w:tabs>
          <w:tab w:val="left" w:pos="7938"/>
        </w:tabs>
        <w:spacing w:after="10" w:line="300" w:lineRule="exact"/>
        <w:ind w:right="284"/>
        <w:jc w:val="both"/>
        <w:rPr>
          <w:rFonts w:ascii="CorpoS" w:eastAsia="SimSun" w:hAnsi="CorpoS"/>
          <w:sz w:val="22"/>
          <w:szCs w:val="22"/>
          <w:lang w:val="en-US" w:eastAsia="zh-CN"/>
        </w:rPr>
      </w:pPr>
    </w:p>
    <w:p w14:paraId="1136C755" w14:textId="77777777" w:rsidR="00754E62" w:rsidRPr="00FA27CB" w:rsidRDefault="00754E62" w:rsidP="00754E62">
      <w:pPr>
        <w:tabs>
          <w:tab w:val="left" w:pos="7938"/>
        </w:tabs>
        <w:spacing w:after="10" w:line="300" w:lineRule="exact"/>
        <w:ind w:right="284"/>
        <w:jc w:val="both"/>
        <w:rPr>
          <w:rFonts w:ascii="CorpoS" w:eastAsia="SimSun" w:hAnsi="CorpoS"/>
          <w:b/>
          <w:sz w:val="22"/>
          <w:szCs w:val="22"/>
          <w:lang w:val="en-US" w:eastAsia="zh-CN"/>
        </w:rPr>
      </w:pPr>
      <w:r w:rsidRPr="00FA27CB">
        <w:rPr>
          <w:rFonts w:ascii="CorpoS" w:eastAsia="SimSun" w:hAnsi="CorpoS"/>
          <w:b/>
          <w:sz w:val="22"/>
          <w:szCs w:val="22"/>
          <w:lang w:val="en-US" w:eastAsia="zh-CN"/>
        </w:rPr>
        <w:t xml:space="preserve">Employee numbers up 6 % </w:t>
      </w:r>
    </w:p>
    <w:p w14:paraId="7D89BDF9" w14:textId="77777777" w:rsidR="00754E62" w:rsidRPr="00FA27CB" w:rsidRDefault="00754E62" w:rsidP="00754E62">
      <w:pPr>
        <w:tabs>
          <w:tab w:val="left" w:pos="7938"/>
        </w:tabs>
        <w:spacing w:after="10" w:line="300" w:lineRule="exact"/>
        <w:ind w:right="284"/>
        <w:jc w:val="both"/>
        <w:rPr>
          <w:rFonts w:ascii="CorpoS" w:eastAsia="SimSun" w:hAnsi="CorpoS"/>
          <w:sz w:val="22"/>
          <w:szCs w:val="22"/>
          <w:lang w:val="en-US" w:eastAsia="zh-CN"/>
        </w:rPr>
      </w:pPr>
      <w:r w:rsidRPr="00FA27CB">
        <w:rPr>
          <w:rFonts w:ascii="CorpoS" w:eastAsia="SimSun" w:hAnsi="CorpoS"/>
          <w:sz w:val="22"/>
          <w:szCs w:val="22"/>
          <w:lang w:val="en-US" w:eastAsia="zh-CN"/>
        </w:rPr>
        <w:t xml:space="preserve">At year end, MTU had 8,846 employees on its payroll, or 6 % more than in 2016 (Dec. 31, 2016: 8,368 employees. New hires were taken on above all at the maintenance sites in Hannover and </w:t>
      </w:r>
      <w:proofErr w:type="spellStart"/>
      <w:r w:rsidRPr="00FA27CB">
        <w:rPr>
          <w:rFonts w:ascii="CorpoS" w:eastAsia="SimSun" w:hAnsi="CorpoS"/>
          <w:sz w:val="22"/>
          <w:szCs w:val="22"/>
          <w:lang w:val="en-US" w:eastAsia="zh-CN"/>
        </w:rPr>
        <w:t>Ludwigsfelde</w:t>
      </w:r>
      <w:proofErr w:type="spellEnd"/>
      <w:r w:rsidRPr="00FA27CB">
        <w:rPr>
          <w:rFonts w:ascii="CorpoS" w:eastAsia="SimSun" w:hAnsi="CorpoS"/>
          <w:sz w:val="22"/>
          <w:szCs w:val="22"/>
          <w:lang w:val="en-US" w:eastAsia="zh-CN"/>
        </w:rPr>
        <w:t xml:space="preserve"> as well as at MTU Aero Engines </w:t>
      </w:r>
      <w:proofErr w:type="spellStart"/>
      <w:r w:rsidRPr="00FA27CB">
        <w:rPr>
          <w:rFonts w:ascii="CorpoS" w:eastAsia="SimSun" w:hAnsi="CorpoS"/>
          <w:sz w:val="22"/>
          <w:szCs w:val="22"/>
          <w:lang w:val="en-US" w:eastAsia="zh-CN"/>
        </w:rPr>
        <w:t>Polska</w:t>
      </w:r>
      <w:proofErr w:type="spellEnd"/>
      <w:r w:rsidRPr="00FA27CB">
        <w:rPr>
          <w:rFonts w:ascii="CorpoS" w:eastAsia="SimSun" w:hAnsi="CorpoS"/>
          <w:sz w:val="22"/>
          <w:szCs w:val="22"/>
          <w:lang w:val="en-US" w:eastAsia="zh-CN"/>
        </w:rPr>
        <w:t xml:space="preserve"> and the company’s headquarters in Munich.</w:t>
      </w:r>
    </w:p>
    <w:p w14:paraId="2849FF35" w14:textId="77777777" w:rsidR="00754E62" w:rsidRPr="00A45CB9" w:rsidRDefault="00754E62" w:rsidP="00754E62">
      <w:pPr>
        <w:tabs>
          <w:tab w:val="left" w:pos="7655"/>
          <w:tab w:val="left" w:pos="9072"/>
        </w:tabs>
        <w:spacing w:line="300" w:lineRule="exact"/>
        <w:ind w:right="283"/>
        <w:jc w:val="both"/>
        <w:rPr>
          <w:rFonts w:ascii="CorpoS" w:eastAsia="SimSun" w:hAnsi="CorpoS"/>
          <w:sz w:val="22"/>
          <w:szCs w:val="22"/>
          <w:lang w:val="en-US" w:eastAsia="zh-CN"/>
        </w:rPr>
      </w:pPr>
    </w:p>
    <w:p w14:paraId="39D05092" w14:textId="77777777" w:rsidR="00754E62" w:rsidRPr="00A45CB9" w:rsidRDefault="00754E62" w:rsidP="00754E62">
      <w:pPr>
        <w:autoSpaceDE w:val="0"/>
        <w:autoSpaceDN w:val="0"/>
        <w:adjustRightInd w:val="0"/>
        <w:spacing w:after="10" w:line="300" w:lineRule="exact"/>
        <w:ind w:right="284"/>
        <w:rPr>
          <w:rFonts w:ascii="CorpoS" w:eastAsia="SimSun" w:hAnsi="CorpoS"/>
          <w:sz w:val="22"/>
          <w:szCs w:val="22"/>
          <w:lang w:val="en-US" w:eastAsia="zh-CN"/>
        </w:rPr>
      </w:pPr>
      <w:r w:rsidRPr="00FA27CB">
        <w:rPr>
          <w:rFonts w:ascii="CorpoS" w:eastAsia="Times New Roman" w:hAnsi="CorpoS" w:cs="CorpoS"/>
          <w:sz w:val="22"/>
          <w:szCs w:val="22"/>
          <w:lang w:val="en-US" w:eastAsia="de-DE"/>
        </w:rPr>
        <w:t>MTU Aero Engines will publish its 2017 Annual Report on February 27, 2018</w:t>
      </w:r>
      <w:r w:rsidRPr="00A45CB9">
        <w:rPr>
          <w:rFonts w:ascii="CorpoS" w:eastAsia="Times New Roman" w:hAnsi="CorpoS" w:cs="CorpoS"/>
          <w:sz w:val="22"/>
          <w:szCs w:val="22"/>
          <w:lang w:val="en-US" w:eastAsia="de-DE"/>
        </w:rPr>
        <w:t>.</w:t>
      </w:r>
    </w:p>
    <w:p w14:paraId="11210F49" w14:textId="77777777" w:rsidR="009E3877" w:rsidRDefault="009E3877" w:rsidP="001C2D8A">
      <w:pPr>
        <w:suppressAutoHyphens/>
        <w:rPr>
          <w:rFonts w:ascii="CorpoS" w:hAnsi="CorpoS"/>
          <w:b/>
          <w:sz w:val="22"/>
          <w:szCs w:val="22"/>
          <w:lang w:val="en-US"/>
        </w:rPr>
      </w:pPr>
    </w:p>
    <w:p w14:paraId="3C540CBB" w14:textId="77777777" w:rsidR="009E3877" w:rsidRDefault="009E3877" w:rsidP="001C2D8A">
      <w:pPr>
        <w:suppressAutoHyphens/>
        <w:rPr>
          <w:rFonts w:ascii="CorpoS" w:hAnsi="CorpoS"/>
          <w:b/>
          <w:sz w:val="22"/>
          <w:szCs w:val="22"/>
          <w:lang w:val="en-US"/>
        </w:rPr>
      </w:pPr>
    </w:p>
    <w:p w14:paraId="4FF70616" w14:textId="77777777" w:rsidR="00FC2FBD" w:rsidRDefault="00FC2FBD" w:rsidP="001C2D8A">
      <w:pPr>
        <w:suppressAutoHyphens/>
        <w:rPr>
          <w:rFonts w:ascii="CorpoS" w:hAnsi="CorpoS"/>
          <w:b/>
          <w:sz w:val="22"/>
          <w:szCs w:val="22"/>
          <w:lang w:val="en-US"/>
        </w:rPr>
      </w:pPr>
    </w:p>
    <w:p w14:paraId="52B14E23" w14:textId="77777777" w:rsidR="00FC2FBD" w:rsidRDefault="00FC2FBD" w:rsidP="001C2D8A">
      <w:pPr>
        <w:suppressAutoHyphens/>
        <w:rPr>
          <w:rFonts w:ascii="CorpoS" w:hAnsi="CorpoS"/>
          <w:b/>
          <w:sz w:val="22"/>
          <w:szCs w:val="22"/>
          <w:lang w:val="en-US"/>
        </w:rPr>
      </w:pPr>
    </w:p>
    <w:p w14:paraId="770F6DE0" w14:textId="77777777" w:rsidR="00FC2FBD" w:rsidRDefault="00FC2FBD" w:rsidP="001C2D8A">
      <w:pPr>
        <w:suppressAutoHyphens/>
        <w:rPr>
          <w:rFonts w:ascii="CorpoS" w:hAnsi="CorpoS"/>
          <w:b/>
          <w:sz w:val="22"/>
          <w:szCs w:val="22"/>
          <w:lang w:val="en-US"/>
        </w:rPr>
      </w:pPr>
    </w:p>
    <w:p w14:paraId="25F7306C" w14:textId="77777777" w:rsidR="00FC2FBD" w:rsidRDefault="00FC2FBD" w:rsidP="001C2D8A">
      <w:pPr>
        <w:suppressAutoHyphens/>
        <w:rPr>
          <w:rFonts w:ascii="CorpoS" w:hAnsi="CorpoS"/>
          <w:b/>
          <w:sz w:val="22"/>
          <w:szCs w:val="22"/>
          <w:lang w:val="en-US"/>
        </w:rPr>
      </w:pPr>
    </w:p>
    <w:p w14:paraId="1709776E" w14:textId="77777777" w:rsidR="00FC2FBD" w:rsidRDefault="00FC2FBD" w:rsidP="001C2D8A">
      <w:pPr>
        <w:suppressAutoHyphens/>
        <w:rPr>
          <w:rFonts w:ascii="CorpoS" w:hAnsi="CorpoS"/>
          <w:b/>
          <w:sz w:val="22"/>
          <w:szCs w:val="22"/>
          <w:lang w:val="en-US"/>
        </w:rPr>
      </w:pPr>
    </w:p>
    <w:p w14:paraId="4CEA5BE0" w14:textId="68673311" w:rsidR="00766743" w:rsidRPr="00397CC5" w:rsidRDefault="00D822B2" w:rsidP="001C2D8A">
      <w:pPr>
        <w:suppressAutoHyphens/>
        <w:rPr>
          <w:rFonts w:ascii="CorpoS" w:hAnsi="CorpoS"/>
          <w:b/>
          <w:sz w:val="22"/>
          <w:szCs w:val="22"/>
          <w:lang w:val="en-US"/>
        </w:rPr>
      </w:pPr>
      <w:r w:rsidRPr="00397CC5">
        <w:rPr>
          <w:rFonts w:ascii="CorpoS" w:hAnsi="CorpoS"/>
          <w:b/>
          <w:sz w:val="22"/>
          <w:szCs w:val="22"/>
          <w:lang w:val="en-US"/>
        </w:rPr>
        <w:lastRenderedPageBreak/>
        <w:t xml:space="preserve">MTU Aero Engines – </w:t>
      </w:r>
      <w:r w:rsidR="00AC0C7E">
        <w:rPr>
          <w:rFonts w:ascii="CorpoS" w:hAnsi="CorpoS"/>
          <w:b/>
          <w:sz w:val="22"/>
          <w:szCs w:val="22"/>
          <w:lang w:val="en-US"/>
        </w:rPr>
        <w:t>Key financial data for</w:t>
      </w:r>
      <w:r w:rsidR="00766743" w:rsidRPr="00397CC5">
        <w:rPr>
          <w:rFonts w:ascii="CorpoS" w:hAnsi="CorpoS"/>
          <w:b/>
          <w:sz w:val="22"/>
          <w:szCs w:val="22"/>
          <w:lang w:val="en-US"/>
        </w:rPr>
        <w:t xml:space="preserve"> 201</w:t>
      </w:r>
      <w:r w:rsidR="009E3877">
        <w:rPr>
          <w:rFonts w:ascii="CorpoS" w:hAnsi="CorpoS"/>
          <w:b/>
          <w:sz w:val="22"/>
          <w:szCs w:val="22"/>
          <w:lang w:val="en-US"/>
        </w:rPr>
        <w:t>7</w:t>
      </w:r>
    </w:p>
    <w:p w14:paraId="55D382F1" w14:textId="6931DAFA" w:rsidR="00766743" w:rsidRPr="00397CC5" w:rsidRDefault="00766743" w:rsidP="001C2D8A">
      <w:pPr>
        <w:tabs>
          <w:tab w:val="left" w:pos="7938"/>
        </w:tabs>
        <w:suppressAutoHyphens/>
        <w:autoSpaceDE w:val="0"/>
        <w:autoSpaceDN w:val="0"/>
        <w:adjustRightInd w:val="0"/>
        <w:ind w:right="283"/>
        <w:rPr>
          <w:rFonts w:ascii="CorpoS" w:hAnsi="CorpoS"/>
          <w:i/>
          <w:sz w:val="18"/>
          <w:szCs w:val="18"/>
          <w:lang w:val="en-US"/>
        </w:rPr>
      </w:pPr>
      <w:r w:rsidRPr="00397CC5">
        <w:rPr>
          <w:rFonts w:ascii="CorpoS" w:hAnsi="CorpoS"/>
          <w:i/>
          <w:sz w:val="18"/>
          <w:szCs w:val="18"/>
          <w:lang w:val="en-US"/>
        </w:rPr>
        <w:t>(</w:t>
      </w:r>
      <w:r w:rsidR="00AC0C7E">
        <w:rPr>
          <w:rFonts w:ascii="CorpoS" w:hAnsi="CorpoS"/>
          <w:i/>
          <w:sz w:val="18"/>
          <w:szCs w:val="18"/>
          <w:lang w:val="en-US"/>
        </w:rPr>
        <w:t>Figures quoted in</w:t>
      </w:r>
      <w:r w:rsidRPr="00397CC5">
        <w:rPr>
          <w:rFonts w:ascii="CorpoS" w:hAnsi="CorpoS"/>
          <w:i/>
          <w:sz w:val="18"/>
          <w:szCs w:val="18"/>
          <w:lang w:val="en-US"/>
        </w:rPr>
        <w:t xml:space="preserve"> €</w:t>
      </w:r>
      <w:r w:rsidR="00AC0C7E">
        <w:rPr>
          <w:rFonts w:ascii="CorpoS" w:hAnsi="CorpoS"/>
          <w:i/>
          <w:sz w:val="18"/>
          <w:szCs w:val="18"/>
          <w:lang w:val="en-US"/>
        </w:rPr>
        <w:t xml:space="preserve"> million</w:t>
      </w:r>
      <w:r w:rsidRPr="00397CC5">
        <w:rPr>
          <w:rFonts w:ascii="CorpoS" w:hAnsi="CorpoS"/>
          <w:i/>
          <w:sz w:val="18"/>
          <w:szCs w:val="18"/>
          <w:lang w:val="en-US"/>
        </w:rPr>
        <w:t xml:space="preserve">, </w:t>
      </w:r>
      <w:r w:rsidR="00AC0C7E">
        <w:rPr>
          <w:rFonts w:ascii="CorpoS" w:hAnsi="CorpoS"/>
          <w:i/>
          <w:sz w:val="18"/>
          <w:szCs w:val="18"/>
          <w:lang w:val="en-US"/>
        </w:rPr>
        <w:t>calculated on a comparable basis. Statements prepared in accordance with</w:t>
      </w:r>
      <w:r w:rsidRPr="00397CC5">
        <w:rPr>
          <w:rFonts w:ascii="CorpoS" w:hAnsi="CorpoS"/>
          <w:i/>
          <w:sz w:val="18"/>
          <w:szCs w:val="18"/>
          <w:lang w:val="en-US"/>
        </w:rPr>
        <w:t xml:space="preserve"> IFRS</w:t>
      </w:r>
      <w:r w:rsidR="00AC0C7E">
        <w:rPr>
          <w:rFonts w:ascii="CorpoS" w:hAnsi="CorpoS"/>
          <w:i/>
          <w:sz w:val="18"/>
          <w:szCs w:val="18"/>
          <w:lang w:val="en-US"/>
        </w:rPr>
        <w:t>s</w:t>
      </w:r>
      <w:r w:rsidRPr="00397CC5">
        <w:rPr>
          <w:rFonts w:ascii="CorpoS" w:hAnsi="CorpoS"/>
          <w:i/>
          <w:sz w:val="18"/>
          <w:szCs w:val="18"/>
          <w:lang w:val="en-US"/>
        </w:rPr>
        <w:t>)</w:t>
      </w:r>
    </w:p>
    <w:p w14:paraId="2E53428D" w14:textId="77777777" w:rsidR="003536F8" w:rsidRPr="00397CC5" w:rsidRDefault="003536F8" w:rsidP="001C2D8A">
      <w:pPr>
        <w:tabs>
          <w:tab w:val="left" w:pos="7938"/>
        </w:tabs>
        <w:suppressAutoHyphens/>
        <w:autoSpaceDE w:val="0"/>
        <w:autoSpaceDN w:val="0"/>
        <w:adjustRightInd w:val="0"/>
        <w:ind w:right="283"/>
        <w:rPr>
          <w:rFonts w:ascii="CorpoS" w:hAnsi="CorpoS"/>
          <w:i/>
          <w:sz w:val="18"/>
          <w:szCs w:val="18"/>
          <w:lang w:val="en-US"/>
        </w:rPr>
      </w:pPr>
    </w:p>
    <w:p w14:paraId="4B2CDD62" w14:textId="77777777" w:rsidR="00511729" w:rsidRPr="00397CC5" w:rsidRDefault="00511729" w:rsidP="001C2D8A">
      <w:pPr>
        <w:tabs>
          <w:tab w:val="left" w:pos="7938"/>
        </w:tabs>
        <w:suppressAutoHyphens/>
        <w:autoSpaceDE w:val="0"/>
        <w:autoSpaceDN w:val="0"/>
        <w:adjustRightInd w:val="0"/>
        <w:ind w:right="283"/>
        <w:rPr>
          <w:rFonts w:ascii="CorpoS" w:hAnsi="CorpoS"/>
          <w:i/>
          <w:sz w:val="10"/>
          <w:szCs w:val="1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511729" w:rsidRPr="00397CC5" w14:paraId="34F31742" w14:textId="77777777" w:rsidTr="00DE3D5A">
        <w:tc>
          <w:tcPr>
            <w:tcW w:w="3969" w:type="dxa"/>
            <w:tcBorders>
              <w:right w:val="single" w:sz="4" w:space="0" w:color="auto"/>
            </w:tcBorders>
            <w:shd w:val="clear" w:color="auto" w:fill="auto"/>
          </w:tcPr>
          <w:p w14:paraId="1335E15B" w14:textId="77777777" w:rsidR="00511729" w:rsidRPr="00397CC5" w:rsidRDefault="00511729" w:rsidP="001C2D8A">
            <w:pPr>
              <w:suppressAutoHyphens/>
              <w:rPr>
                <w:rFonts w:ascii="CorpoS" w:hAnsi="CorpoS"/>
                <w:b/>
                <w:sz w:val="22"/>
                <w:szCs w:val="22"/>
                <w:lang w:val="en-US"/>
              </w:rPr>
            </w:pPr>
            <w:r w:rsidRPr="00397CC5">
              <w:rPr>
                <w:rFonts w:ascii="CorpoS" w:hAnsi="CorpoS"/>
                <w:b/>
                <w:sz w:val="22"/>
                <w:szCs w:val="22"/>
                <w:lang w:val="en-US"/>
              </w:rPr>
              <w:t>MTU Aero Engines</w:t>
            </w:r>
          </w:p>
          <w:p w14:paraId="151310FD" w14:textId="77777777" w:rsidR="00511729" w:rsidRPr="00397CC5" w:rsidRDefault="00511729" w:rsidP="001C2D8A">
            <w:pPr>
              <w:suppressAutoHyphens/>
              <w:rPr>
                <w:rFonts w:ascii="CorpoS" w:hAnsi="CorpoS"/>
                <w:b/>
                <w:sz w:val="22"/>
                <w:szCs w:val="22"/>
                <w:lang w:val="en-US"/>
              </w:rPr>
            </w:pPr>
          </w:p>
        </w:tc>
        <w:tc>
          <w:tcPr>
            <w:tcW w:w="1134" w:type="dxa"/>
            <w:tcBorders>
              <w:left w:val="single" w:sz="4" w:space="0" w:color="auto"/>
              <w:right w:val="single" w:sz="4" w:space="0" w:color="auto"/>
            </w:tcBorders>
          </w:tcPr>
          <w:p w14:paraId="177F84D7" w14:textId="6B0E16BA" w:rsidR="00511729" w:rsidRPr="00397CC5" w:rsidRDefault="00511729" w:rsidP="001C2D8A">
            <w:pPr>
              <w:suppressAutoHyphens/>
              <w:jc w:val="right"/>
              <w:rPr>
                <w:rFonts w:ascii="CorpoS" w:hAnsi="CorpoS"/>
                <w:b/>
                <w:sz w:val="22"/>
                <w:szCs w:val="22"/>
                <w:lang w:val="en-US"/>
              </w:rPr>
            </w:pPr>
            <w:r w:rsidRPr="00397CC5">
              <w:rPr>
                <w:rFonts w:ascii="CorpoS" w:hAnsi="CorpoS"/>
                <w:b/>
                <w:sz w:val="22"/>
                <w:szCs w:val="22"/>
                <w:lang w:val="en-US"/>
              </w:rPr>
              <w:t>Q</w:t>
            </w:r>
            <w:r w:rsidR="007108C7" w:rsidRPr="00397CC5">
              <w:rPr>
                <w:rFonts w:ascii="CorpoS" w:hAnsi="CorpoS"/>
                <w:b/>
                <w:sz w:val="22"/>
                <w:szCs w:val="22"/>
                <w:lang w:val="en-US"/>
              </w:rPr>
              <w:t>4</w:t>
            </w:r>
            <w:r w:rsidRPr="00397CC5">
              <w:rPr>
                <w:rFonts w:ascii="CorpoS" w:hAnsi="CorpoS"/>
                <w:b/>
                <w:sz w:val="22"/>
                <w:szCs w:val="22"/>
                <w:lang w:val="en-US"/>
              </w:rPr>
              <w:t xml:space="preserve"> 201</w:t>
            </w:r>
            <w:r w:rsidR="009E3877">
              <w:rPr>
                <w:rFonts w:ascii="CorpoS" w:hAnsi="CorpoS"/>
                <w:b/>
                <w:sz w:val="22"/>
                <w:szCs w:val="22"/>
                <w:lang w:val="en-US"/>
              </w:rPr>
              <w:t>6</w:t>
            </w:r>
          </w:p>
        </w:tc>
        <w:tc>
          <w:tcPr>
            <w:tcW w:w="1134" w:type="dxa"/>
            <w:tcBorders>
              <w:left w:val="single" w:sz="4" w:space="0" w:color="auto"/>
              <w:right w:val="single" w:sz="18" w:space="0" w:color="auto"/>
            </w:tcBorders>
          </w:tcPr>
          <w:p w14:paraId="1217F829" w14:textId="66B5DA55" w:rsidR="00511729" w:rsidRPr="00397CC5" w:rsidRDefault="007108C7" w:rsidP="001C2D8A">
            <w:pPr>
              <w:suppressAutoHyphens/>
              <w:jc w:val="right"/>
              <w:rPr>
                <w:rFonts w:ascii="CorpoS" w:hAnsi="CorpoS"/>
                <w:b/>
                <w:sz w:val="22"/>
                <w:szCs w:val="22"/>
                <w:lang w:val="en-US"/>
              </w:rPr>
            </w:pPr>
            <w:r w:rsidRPr="00397CC5">
              <w:rPr>
                <w:rFonts w:ascii="CorpoS" w:hAnsi="CorpoS"/>
                <w:b/>
                <w:sz w:val="22"/>
                <w:szCs w:val="22"/>
                <w:lang w:val="en-US"/>
              </w:rPr>
              <w:t>Q4</w:t>
            </w:r>
            <w:r w:rsidR="00511729" w:rsidRPr="00397CC5">
              <w:rPr>
                <w:rFonts w:ascii="CorpoS" w:hAnsi="CorpoS"/>
                <w:b/>
                <w:sz w:val="22"/>
                <w:szCs w:val="22"/>
                <w:lang w:val="en-US"/>
              </w:rPr>
              <w:t xml:space="preserve"> 201</w:t>
            </w:r>
            <w:r w:rsidR="009E3877">
              <w:rPr>
                <w:rFonts w:ascii="CorpoS" w:hAnsi="CorpoS"/>
                <w:b/>
                <w:sz w:val="22"/>
                <w:szCs w:val="22"/>
                <w:lang w:val="en-US"/>
              </w:rPr>
              <w:t>7</w:t>
            </w:r>
          </w:p>
        </w:tc>
        <w:tc>
          <w:tcPr>
            <w:tcW w:w="1276" w:type="dxa"/>
            <w:tcBorders>
              <w:top w:val="single" w:sz="18" w:space="0" w:color="auto"/>
              <w:left w:val="single" w:sz="18" w:space="0" w:color="auto"/>
            </w:tcBorders>
            <w:shd w:val="clear" w:color="auto" w:fill="auto"/>
          </w:tcPr>
          <w:p w14:paraId="2E06C600" w14:textId="4F4F0B89" w:rsidR="00511729" w:rsidRPr="00397CC5" w:rsidRDefault="004F1650" w:rsidP="001C2D8A">
            <w:pPr>
              <w:suppressAutoHyphens/>
              <w:jc w:val="right"/>
              <w:rPr>
                <w:rFonts w:ascii="CorpoS" w:hAnsi="CorpoS"/>
                <w:i/>
                <w:sz w:val="16"/>
                <w:szCs w:val="16"/>
                <w:lang w:val="en-US"/>
              </w:rPr>
            </w:pPr>
            <w:r>
              <w:rPr>
                <w:rFonts w:ascii="CorpoS" w:hAnsi="CorpoS"/>
                <w:b/>
                <w:sz w:val="22"/>
                <w:szCs w:val="22"/>
                <w:lang w:val="en-US"/>
              </w:rPr>
              <w:t xml:space="preserve">Dec. 31, </w:t>
            </w:r>
            <w:r w:rsidR="00511729" w:rsidRPr="00397CC5">
              <w:rPr>
                <w:rFonts w:ascii="CorpoS" w:hAnsi="CorpoS"/>
                <w:b/>
                <w:sz w:val="22"/>
                <w:szCs w:val="22"/>
                <w:lang w:val="en-US"/>
              </w:rPr>
              <w:t>201</w:t>
            </w:r>
            <w:r w:rsidR="009E3877">
              <w:rPr>
                <w:rFonts w:ascii="CorpoS" w:hAnsi="CorpoS"/>
                <w:b/>
                <w:sz w:val="22"/>
                <w:szCs w:val="22"/>
                <w:lang w:val="en-US"/>
              </w:rPr>
              <w:t>6</w:t>
            </w:r>
          </w:p>
        </w:tc>
        <w:tc>
          <w:tcPr>
            <w:tcW w:w="1276" w:type="dxa"/>
            <w:tcBorders>
              <w:top w:val="single" w:sz="18" w:space="0" w:color="auto"/>
            </w:tcBorders>
            <w:shd w:val="clear" w:color="auto" w:fill="auto"/>
          </w:tcPr>
          <w:p w14:paraId="54E6C404" w14:textId="4345CAE6" w:rsidR="00511729" w:rsidRPr="00397CC5" w:rsidRDefault="007108C7" w:rsidP="001C2D8A">
            <w:pPr>
              <w:suppressAutoHyphens/>
              <w:jc w:val="right"/>
              <w:rPr>
                <w:rFonts w:ascii="CorpoS" w:hAnsi="CorpoS"/>
                <w:b/>
                <w:sz w:val="22"/>
                <w:szCs w:val="22"/>
                <w:lang w:val="en-US"/>
              </w:rPr>
            </w:pPr>
            <w:r w:rsidRPr="00397CC5">
              <w:rPr>
                <w:rFonts w:ascii="CorpoS" w:hAnsi="CorpoS"/>
                <w:b/>
                <w:sz w:val="22"/>
                <w:szCs w:val="22"/>
                <w:lang w:val="en-US"/>
              </w:rPr>
              <w:t>De</w:t>
            </w:r>
            <w:r w:rsidR="004F1650">
              <w:rPr>
                <w:rFonts w:ascii="CorpoS" w:hAnsi="CorpoS"/>
                <w:b/>
                <w:sz w:val="22"/>
                <w:szCs w:val="22"/>
                <w:lang w:val="en-US"/>
              </w:rPr>
              <w:t>c. 31,</w:t>
            </w:r>
            <w:r w:rsidR="00511729" w:rsidRPr="00397CC5">
              <w:rPr>
                <w:rFonts w:ascii="CorpoS" w:hAnsi="CorpoS"/>
                <w:b/>
                <w:sz w:val="22"/>
                <w:szCs w:val="22"/>
                <w:lang w:val="en-US"/>
              </w:rPr>
              <w:t xml:space="preserve"> 201</w:t>
            </w:r>
            <w:r w:rsidR="009E3877">
              <w:rPr>
                <w:rFonts w:ascii="CorpoS" w:hAnsi="CorpoS"/>
                <w:b/>
                <w:sz w:val="22"/>
                <w:szCs w:val="22"/>
                <w:lang w:val="en-US"/>
              </w:rPr>
              <w:t>7</w:t>
            </w:r>
          </w:p>
        </w:tc>
        <w:tc>
          <w:tcPr>
            <w:tcW w:w="1418" w:type="dxa"/>
            <w:tcBorders>
              <w:top w:val="single" w:sz="18" w:space="0" w:color="auto"/>
              <w:right w:val="single" w:sz="18" w:space="0" w:color="auto"/>
            </w:tcBorders>
            <w:shd w:val="clear" w:color="auto" w:fill="auto"/>
          </w:tcPr>
          <w:p w14:paraId="33FABB60" w14:textId="443E1E4E" w:rsidR="00511729" w:rsidRPr="00397CC5" w:rsidRDefault="004F1650" w:rsidP="001C2D8A">
            <w:pPr>
              <w:suppressAutoHyphens/>
              <w:ind w:right="33"/>
              <w:rPr>
                <w:rFonts w:ascii="CorpoS" w:hAnsi="CorpoS"/>
                <w:b/>
                <w:sz w:val="22"/>
                <w:szCs w:val="22"/>
                <w:lang w:val="en-US"/>
              </w:rPr>
            </w:pPr>
            <w:r>
              <w:rPr>
                <w:rFonts w:ascii="CorpoS" w:hAnsi="CorpoS"/>
                <w:b/>
                <w:sz w:val="22"/>
                <w:szCs w:val="22"/>
                <w:lang w:val="en-US"/>
              </w:rPr>
              <w:t>Change</w:t>
            </w:r>
          </w:p>
        </w:tc>
      </w:tr>
      <w:tr w:rsidR="00B3356B" w:rsidRPr="00397CC5" w14:paraId="37B5A858" w14:textId="77777777" w:rsidTr="00DE3D5A">
        <w:tc>
          <w:tcPr>
            <w:tcW w:w="3969" w:type="dxa"/>
            <w:tcBorders>
              <w:right w:val="single" w:sz="4" w:space="0" w:color="auto"/>
            </w:tcBorders>
            <w:shd w:val="clear" w:color="auto" w:fill="auto"/>
          </w:tcPr>
          <w:p w14:paraId="6CD02075" w14:textId="240A0F23" w:rsidR="00B3356B" w:rsidRPr="00397CC5" w:rsidRDefault="00B3356B" w:rsidP="00927315">
            <w:pPr>
              <w:suppressAutoHyphens/>
              <w:rPr>
                <w:rFonts w:ascii="CorpoS" w:hAnsi="CorpoS"/>
                <w:sz w:val="22"/>
                <w:szCs w:val="22"/>
                <w:lang w:val="en-US"/>
              </w:rPr>
            </w:pPr>
            <w:r>
              <w:rPr>
                <w:rFonts w:ascii="CorpoS" w:hAnsi="CorpoS"/>
                <w:sz w:val="22"/>
                <w:szCs w:val="22"/>
                <w:lang w:val="en-US"/>
              </w:rPr>
              <w:t>Revenues</w:t>
            </w:r>
          </w:p>
        </w:tc>
        <w:tc>
          <w:tcPr>
            <w:tcW w:w="1134" w:type="dxa"/>
            <w:tcBorders>
              <w:left w:val="single" w:sz="4" w:space="0" w:color="auto"/>
              <w:right w:val="single" w:sz="4" w:space="0" w:color="auto"/>
            </w:tcBorders>
            <w:vAlign w:val="center"/>
          </w:tcPr>
          <w:p w14:paraId="077A0E69" w14:textId="6EFA632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1,331.4</w:t>
            </w:r>
          </w:p>
        </w:tc>
        <w:tc>
          <w:tcPr>
            <w:tcW w:w="1134" w:type="dxa"/>
            <w:tcBorders>
              <w:left w:val="single" w:sz="4" w:space="0" w:color="auto"/>
              <w:right w:val="single" w:sz="18" w:space="0" w:color="auto"/>
            </w:tcBorders>
            <w:vAlign w:val="center"/>
          </w:tcPr>
          <w:p w14:paraId="708786D1" w14:textId="3AAF2E48"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1,290.9</w:t>
            </w:r>
          </w:p>
        </w:tc>
        <w:tc>
          <w:tcPr>
            <w:tcW w:w="1276" w:type="dxa"/>
            <w:tcBorders>
              <w:left w:val="single" w:sz="18" w:space="0" w:color="auto"/>
            </w:tcBorders>
            <w:shd w:val="clear" w:color="auto" w:fill="auto"/>
            <w:vAlign w:val="center"/>
          </w:tcPr>
          <w:p w14:paraId="1A4BF45E" w14:textId="56A8F248"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4,732.7</w:t>
            </w:r>
          </w:p>
        </w:tc>
        <w:tc>
          <w:tcPr>
            <w:tcW w:w="1276" w:type="dxa"/>
            <w:shd w:val="clear" w:color="auto" w:fill="auto"/>
            <w:vAlign w:val="center"/>
          </w:tcPr>
          <w:p w14:paraId="6EEA781D" w14:textId="4A6D68B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5,036.3</w:t>
            </w:r>
          </w:p>
        </w:tc>
        <w:tc>
          <w:tcPr>
            <w:tcW w:w="1418" w:type="dxa"/>
            <w:tcBorders>
              <w:right w:val="single" w:sz="18" w:space="0" w:color="auto"/>
            </w:tcBorders>
            <w:shd w:val="clear" w:color="auto" w:fill="auto"/>
            <w:vAlign w:val="center"/>
          </w:tcPr>
          <w:p w14:paraId="340ED2B1" w14:textId="0432B46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+ 6.4 %</w:t>
            </w:r>
          </w:p>
        </w:tc>
      </w:tr>
      <w:tr w:rsidR="00B3356B" w:rsidRPr="00397CC5" w14:paraId="6AF5DD1A" w14:textId="77777777" w:rsidTr="00DE3D5A">
        <w:tc>
          <w:tcPr>
            <w:tcW w:w="3969" w:type="dxa"/>
            <w:tcBorders>
              <w:right w:val="single" w:sz="4" w:space="0" w:color="auto"/>
            </w:tcBorders>
            <w:shd w:val="clear" w:color="auto" w:fill="auto"/>
          </w:tcPr>
          <w:p w14:paraId="4F07FBDA" w14:textId="0940A3A4"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0055C9C5" w14:textId="2C49222B"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810.1</w:t>
            </w:r>
          </w:p>
        </w:tc>
        <w:tc>
          <w:tcPr>
            <w:tcW w:w="1134" w:type="dxa"/>
            <w:tcBorders>
              <w:left w:val="single" w:sz="4" w:space="0" w:color="auto"/>
              <w:right w:val="single" w:sz="18" w:space="0" w:color="auto"/>
            </w:tcBorders>
            <w:vAlign w:val="center"/>
          </w:tcPr>
          <w:p w14:paraId="762A296F" w14:textId="6D83CBA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780.8</w:t>
            </w:r>
          </w:p>
        </w:tc>
        <w:tc>
          <w:tcPr>
            <w:tcW w:w="1276" w:type="dxa"/>
            <w:tcBorders>
              <w:left w:val="single" w:sz="18" w:space="0" w:color="auto"/>
            </w:tcBorders>
            <w:shd w:val="clear" w:color="auto" w:fill="auto"/>
            <w:vAlign w:val="center"/>
          </w:tcPr>
          <w:p w14:paraId="4A84813C" w14:textId="3605564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2,905.2</w:t>
            </w:r>
          </w:p>
        </w:tc>
        <w:tc>
          <w:tcPr>
            <w:tcW w:w="1276" w:type="dxa"/>
            <w:shd w:val="clear" w:color="auto" w:fill="auto"/>
            <w:vAlign w:val="center"/>
          </w:tcPr>
          <w:p w14:paraId="585EB10A" w14:textId="190EDBB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2,873.7</w:t>
            </w:r>
          </w:p>
        </w:tc>
        <w:tc>
          <w:tcPr>
            <w:tcW w:w="1418" w:type="dxa"/>
            <w:tcBorders>
              <w:right w:val="single" w:sz="18" w:space="0" w:color="auto"/>
            </w:tcBorders>
            <w:shd w:val="clear" w:color="auto" w:fill="auto"/>
            <w:vAlign w:val="center"/>
          </w:tcPr>
          <w:p w14:paraId="43BAA918" w14:textId="2840BB60"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- 1.1 %</w:t>
            </w:r>
          </w:p>
        </w:tc>
      </w:tr>
      <w:tr w:rsidR="00B3356B" w:rsidRPr="00397CC5" w14:paraId="6548D0D0" w14:textId="77777777" w:rsidTr="00DE3D5A">
        <w:tc>
          <w:tcPr>
            <w:tcW w:w="3969" w:type="dxa"/>
            <w:tcBorders>
              <w:right w:val="single" w:sz="4" w:space="0" w:color="auto"/>
            </w:tcBorders>
            <w:shd w:val="clear" w:color="auto" w:fill="auto"/>
          </w:tcPr>
          <w:p w14:paraId="7530110C" w14:textId="1BC45388"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engine business</w:t>
            </w:r>
          </w:p>
        </w:tc>
        <w:tc>
          <w:tcPr>
            <w:tcW w:w="1134" w:type="dxa"/>
            <w:tcBorders>
              <w:left w:val="single" w:sz="4" w:space="0" w:color="auto"/>
              <w:right w:val="single" w:sz="4" w:space="0" w:color="auto"/>
            </w:tcBorders>
            <w:vAlign w:val="center"/>
          </w:tcPr>
          <w:p w14:paraId="500AFB0F" w14:textId="64EF5E05"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662.9</w:t>
            </w:r>
          </w:p>
        </w:tc>
        <w:tc>
          <w:tcPr>
            <w:tcW w:w="1134" w:type="dxa"/>
            <w:tcBorders>
              <w:left w:val="single" w:sz="4" w:space="0" w:color="auto"/>
              <w:right w:val="single" w:sz="18" w:space="0" w:color="auto"/>
            </w:tcBorders>
            <w:vAlign w:val="center"/>
          </w:tcPr>
          <w:p w14:paraId="504E5879" w14:textId="103449E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648.0</w:t>
            </w:r>
          </w:p>
        </w:tc>
        <w:tc>
          <w:tcPr>
            <w:tcW w:w="1276" w:type="dxa"/>
            <w:tcBorders>
              <w:left w:val="single" w:sz="18" w:space="0" w:color="auto"/>
            </w:tcBorders>
            <w:shd w:val="clear" w:color="auto" w:fill="auto"/>
            <w:vAlign w:val="center"/>
          </w:tcPr>
          <w:p w14:paraId="68A4F49E" w14:textId="0C48309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2,401.2</w:t>
            </w:r>
          </w:p>
        </w:tc>
        <w:tc>
          <w:tcPr>
            <w:tcW w:w="1276" w:type="dxa"/>
            <w:shd w:val="clear" w:color="auto" w:fill="auto"/>
            <w:vAlign w:val="center"/>
          </w:tcPr>
          <w:p w14:paraId="1B49495C" w14:textId="52655715"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2,469.4</w:t>
            </w:r>
          </w:p>
        </w:tc>
        <w:tc>
          <w:tcPr>
            <w:tcW w:w="1418" w:type="dxa"/>
            <w:tcBorders>
              <w:right w:val="single" w:sz="18" w:space="0" w:color="auto"/>
            </w:tcBorders>
            <w:shd w:val="clear" w:color="auto" w:fill="auto"/>
            <w:vAlign w:val="center"/>
          </w:tcPr>
          <w:p w14:paraId="659020D7" w14:textId="56611C6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+ 2.8 %</w:t>
            </w:r>
          </w:p>
        </w:tc>
      </w:tr>
      <w:tr w:rsidR="00B3356B" w:rsidRPr="00397CC5" w14:paraId="0E512A9F" w14:textId="77777777" w:rsidTr="00DE3D5A">
        <w:tc>
          <w:tcPr>
            <w:tcW w:w="3969" w:type="dxa"/>
            <w:tcBorders>
              <w:right w:val="single" w:sz="4" w:space="0" w:color="auto"/>
            </w:tcBorders>
            <w:shd w:val="clear" w:color="auto" w:fill="auto"/>
          </w:tcPr>
          <w:p w14:paraId="357FAD4E" w14:textId="0EAD6FB4"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milit</w:t>
            </w:r>
            <w:r>
              <w:rPr>
                <w:rFonts w:ascii="CorpoS" w:hAnsi="CorpoS"/>
                <w:sz w:val="22"/>
                <w:szCs w:val="22"/>
                <w:lang w:val="en-US"/>
              </w:rPr>
              <w:t>ary engine business</w:t>
            </w:r>
          </w:p>
        </w:tc>
        <w:tc>
          <w:tcPr>
            <w:tcW w:w="1134" w:type="dxa"/>
            <w:tcBorders>
              <w:left w:val="single" w:sz="4" w:space="0" w:color="auto"/>
              <w:right w:val="single" w:sz="4" w:space="0" w:color="auto"/>
            </w:tcBorders>
            <w:vAlign w:val="center"/>
          </w:tcPr>
          <w:p w14:paraId="7E2858D5" w14:textId="580BDF30"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147.2</w:t>
            </w:r>
          </w:p>
        </w:tc>
        <w:tc>
          <w:tcPr>
            <w:tcW w:w="1134" w:type="dxa"/>
            <w:tcBorders>
              <w:left w:val="single" w:sz="4" w:space="0" w:color="auto"/>
              <w:right w:val="single" w:sz="18" w:space="0" w:color="auto"/>
            </w:tcBorders>
            <w:vAlign w:val="center"/>
          </w:tcPr>
          <w:p w14:paraId="6CE4D8DD" w14:textId="353ADA52"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132.8</w:t>
            </w:r>
          </w:p>
        </w:tc>
        <w:tc>
          <w:tcPr>
            <w:tcW w:w="1276" w:type="dxa"/>
            <w:tcBorders>
              <w:left w:val="single" w:sz="18" w:space="0" w:color="auto"/>
            </w:tcBorders>
            <w:shd w:val="clear" w:color="auto" w:fill="auto"/>
            <w:vAlign w:val="center"/>
          </w:tcPr>
          <w:p w14:paraId="22608F4C" w14:textId="7E50A05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504.0</w:t>
            </w:r>
          </w:p>
        </w:tc>
        <w:tc>
          <w:tcPr>
            <w:tcW w:w="1276" w:type="dxa"/>
            <w:shd w:val="clear" w:color="auto" w:fill="auto"/>
            <w:vAlign w:val="center"/>
          </w:tcPr>
          <w:p w14:paraId="6D661792" w14:textId="6CB99BFC"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404.3</w:t>
            </w:r>
          </w:p>
        </w:tc>
        <w:tc>
          <w:tcPr>
            <w:tcW w:w="1418" w:type="dxa"/>
            <w:tcBorders>
              <w:right w:val="single" w:sz="18" w:space="0" w:color="auto"/>
            </w:tcBorders>
            <w:shd w:val="clear" w:color="auto" w:fill="auto"/>
            <w:vAlign w:val="center"/>
          </w:tcPr>
          <w:p w14:paraId="00A32864" w14:textId="668C7788"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- 19.8 %</w:t>
            </w:r>
          </w:p>
        </w:tc>
      </w:tr>
      <w:tr w:rsidR="00B3356B" w:rsidRPr="00397CC5" w14:paraId="3BF3648D" w14:textId="77777777" w:rsidTr="00DE3D5A">
        <w:tc>
          <w:tcPr>
            <w:tcW w:w="3969" w:type="dxa"/>
            <w:tcBorders>
              <w:right w:val="single" w:sz="4" w:space="0" w:color="auto"/>
            </w:tcBorders>
            <w:shd w:val="clear" w:color="auto" w:fill="auto"/>
          </w:tcPr>
          <w:p w14:paraId="5ADCC245" w14:textId="3D9800D2"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6215B25C" w14:textId="1397080B"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546.1</w:t>
            </w:r>
          </w:p>
        </w:tc>
        <w:tc>
          <w:tcPr>
            <w:tcW w:w="1134" w:type="dxa"/>
            <w:tcBorders>
              <w:left w:val="single" w:sz="4" w:space="0" w:color="auto"/>
              <w:right w:val="single" w:sz="18" w:space="0" w:color="auto"/>
            </w:tcBorders>
            <w:vAlign w:val="center"/>
          </w:tcPr>
          <w:p w14:paraId="75685B1F" w14:textId="6998A12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557.8</w:t>
            </w:r>
          </w:p>
        </w:tc>
        <w:tc>
          <w:tcPr>
            <w:tcW w:w="1276" w:type="dxa"/>
            <w:tcBorders>
              <w:left w:val="single" w:sz="18" w:space="0" w:color="auto"/>
            </w:tcBorders>
            <w:shd w:val="clear" w:color="auto" w:fill="auto"/>
            <w:vAlign w:val="center"/>
          </w:tcPr>
          <w:p w14:paraId="3F7C9D16" w14:textId="15D62BB0"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1,914.4</w:t>
            </w:r>
          </w:p>
        </w:tc>
        <w:tc>
          <w:tcPr>
            <w:tcW w:w="1276" w:type="dxa"/>
            <w:shd w:val="clear" w:color="auto" w:fill="auto"/>
            <w:vAlign w:val="center"/>
          </w:tcPr>
          <w:p w14:paraId="2AA33354" w14:textId="1BD98BC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2,285.3</w:t>
            </w:r>
          </w:p>
        </w:tc>
        <w:tc>
          <w:tcPr>
            <w:tcW w:w="1418" w:type="dxa"/>
            <w:tcBorders>
              <w:right w:val="single" w:sz="18" w:space="0" w:color="auto"/>
            </w:tcBorders>
            <w:shd w:val="clear" w:color="auto" w:fill="auto"/>
            <w:vAlign w:val="center"/>
          </w:tcPr>
          <w:p w14:paraId="51F4EB4A" w14:textId="35D298D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+ 19.4 %</w:t>
            </w:r>
          </w:p>
        </w:tc>
      </w:tr>
      <w:tr w:rsidR="00B3356B" w:rsidRPr="00397CC5" w14:paraId="5B059734" w14:textId="77777777" w:rsidTr="00DE3D5A">
        <w:tc>
          <w:tcPr>
            <w:tcW w:w="3969" w:type="dxa"/>
            <w:tcBorders>
              <w:right w:val="single" w:sz="4" w:space="0" w:color="auto"/>
            </w:tcBorders>
            <w:shd w:val="clear" w:color="auto" w:fill="auto"/>
          </w:tcPr>
          <w:p w14:paraId="036559EE" w14:textId="23F17F2D"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EBIT (</w:t>
            </w:r>
            <w:r>
              <w:rPr>
                <w:rFonts w:ascii="CorpoS" w:hAnsi="CorpoS"/>
                <w:sz w:val="22"/>
                <w:szCs w:val="22"/>
                <w:lang w:val="en-US"/>
              </w:rPr>
              <w:t>adjusted</w:t>
            </w:r>
            <w:r w:rsidRPr="0009657C">
              <w:rPr>
                <w:rFonts w:ascii="CorpoS" w:hAnsi="CorpoS"/>
                <w:sz w:val="22"/>
                <w:szCs w:val="22"/>
                <w:lang w:val="en-US"/>
              </w:rPr>
              <w:t>)</w:t>
            </w:r>
          </w:p>
        </w:tc>
        <w:tc>
          <w:tcPr>
            <w:tcW w:w="1134" w:type="dxa"/>
            <w:tcBorders>
              <w:left w:val="single" w:sz="4" w:space="0" w:color="auto"/>
              <w:right w:val="single" w:sz="4" w:space="0" w:color="auto"/>
            </w:tcBorders>
            <w:vAlign w:val="center"/>
          </w:tcPr>
          <w:p w14:paraId="6237B7BB" w14:textId="1A73F10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109.2</w:t>
            </w:r>
          </w:p>
        </w:tc>
        <w:tc>
          <w:tcPr>
            <w:tcW w:w="1134" w:type="dxa"/>
            <w:tcBorders>
              <w:left w:val="single" w:sz="4" w:space="0" w:color="auto"/>
              <w:right w:val="single" w:sz="18" w:space="0" w:color="auto"/>
            </w:tcBorders>
            <w:vAlign w:val="center"/>
          </w:tcPr>
          <w:p w14:paraId="0E906A96" w14:textId="11B5FA0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156.0</w:t>
            </w:r>
          </w:p>
        </w:tc>
        <w:tc>
          <w:tcPr>
            <w:tcW w:w="1276" w:type="dxa"/>
            <w:tcBorders>
              <w:left w:val="single" w:sz="18" w:space="0" w:color="auto"/>
            </w:tcBorders>
            <w:shd w:val="clear" w:color="auto" w:fill="auto"/>
            <w:vAlign w:val="center"/>
          </w:tcPr>
          <w:p w14:paraId="5555B450" w14:textId="18BF87F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503.0</w:t>
            </w:r>
          </w:p>
        </w:tc>
        <w:tc>
          <w:tcPr>
            <w:tcW w:w="1276" w:type="dxa"/>
            <w:shd w:val="clear" w:color="auto" w:fill="auto"/>
            <w:vAlign w:val="center"/>
          </w:tcPr>
          <w:p w14:paraId="53F34744" w14:textId="6BAD992C"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606.6</w:t>
            </w:r>
          </w:p>
        </w:tc>
        <w:tc>
          <w:tcPr>
            <w:tcW w:w="1418" w:type="dxa"/>
            <w:tcBorders>
              <w:right w:val="single" w:sz="18" w:space="0" w:color="auto"/>
            </w:tcBorders>
            <w:shd w:val="clear" w:color="auto" w:fill="auto"/>
            <w:vAlign w:val="center"/>
          </w:tcPr>
          <w:p w14:paraId="3701CC40" w14:textId="6B3F24C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+ 20.6 %</w:t>
            </w:r>
          </w:p>
        </w:tc>
      </w:tr>
      <w:tr w:rsidR="00B3356B" w:rsidRPr="00397CC5" w14:paraId="504F0470" w14:textId="77777777" w:rsidTr="00DE3D5A">
        <w:tc>
          <w:tcPr>
            <w:tcW w:w="3969" w:type="dxa"/>
            <w:tcBorders>
              <w:right w:val="single" w:sz="4" w:space="0" w:color="auto"/>
            </w:tcBorders>
            <w:shd w:val="clear" w:color="auto" w:fill="auto"/>
          </w:tcPr>
          <w:p w14:paraId="00868B93" w14:textId="1DE2B4F5"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44A5262C" w14:textId="1E1F6D2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57.0</w:t>
            </w:r>
          </w:p>
        </w:tc>
        <w:tc>
          <w:tcPr>
            <w:tcW w:w="1134" w:type="dxa"/>
            <w:tcBorders>
              <w:left w:val="single" w:sz="4" w:space="0" w:color="auto"/>
              <w:right w:val="single" w:sz="18" w:space="0" w:color="auto"/>
            </w:tcBorders>
            <w:vAlign w:val="center"/>
          </w:tcPr>
          <w:p w14:paraId="0EB6406D" w14:textId="04D6E7E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108.9</w:t>
            </w:r>
          </w:p>
        </w:tc>
        <w:tc>
          <w:tcPr>
            <w:tcW w:w="1276" w:type="dxa"/>
            <w:tcBorders>
              <w:left w:val="single" w:sz="18" w:space="0" w:color="auto"/>
            </w:tcBorders>
            <w:shd w:val="clear" w:color="auto" w:fill="auto"/>
            <w:vAlign w:val="center"/>
          </w:tcPr>
          <w:p w14:paraId="00D25DC2" w14:textId="66F0203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321.5</w:t>
            </w:r>
          </w:p>
        </w:tc>
        <w:tc>
          <w:tcPr>
            <w:tcW w:w="1276" w:type="dxa"/>
            <w:shd w:val="clear" w:color="auto" w:fill="auto"/>
            <w:vAlign w:val="center"/>
          </w:tcPr>
          <w:p w14:paraId="21638BE2" w14:textId="217C5DB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412.2</w:t>
            </w:r>
          </w:p>
        </w:tc>
        <w:tc>
          <w:tcPr>
            <w:tcW w:w="1418" w:type="dxa"/>
            <w:tcBorders>
              <w:right w:val="single" w:sz="18" w:space="0" w:color="auto"/>
            </w:tcBorders>
            <w:shd w:val="clear" w:color="auto" w:fill="auto"/>
            <w:vAlign w:val="center"/>
          </w:tcPr>
          <w:p w14:paraId="02FA1D9F" w14:textId="707400D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+ 28.2 %</w:t>
            </w:r>
          </w:p>
        </w:tc>
      </w:tr>
      <w:tr w:rsidR="00B3356B" w:rsidRPr="00397CC5" w14:paraId="6EBDBB2B" w14:textId="77777777" w:rsidTr="00DE3D5A">
        <w:tc>
          <w:tcPr>
            <w:tcW w:w="3969" w:type="dxa"/>
            <w:tcBorders>
              <w:right w:val="single" w:sz="4" w:space="0" w:color="auto"/>
            </w:tcBorders>
            <w:shd w:val="clear" w:color="auto" w:fill="auto"/>
          </w:tcPr>
          <w:p w14:paraId="026A0A35" w14:textId="75B79614"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391646F5" w14:textId="59AE0C3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52.5</w:t>
            </w:r>
          </w:p>
        </w:tc>
        <w:tc>
          <w:tcPr>
            <w:tcW w:w="1134" w:type="dxa"/>
            <w:tcBorders>
              <w:left w:val="single" w:sz="4" w:space="0" w:color="auto"/>
              <w:right w:val="single" w:sz="18" w:space="0" w:color="auto"/>
            </w:tcBorders>
            <w:vAlign w:val="center"/>
          </w:tcPr>
          <w:p w14:paraId="26ACE539" w14:textId="0404A7A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47.6</w:t>
            </w:r>
          </w:p>
        </w:tc>
        <w:tc>
          <w:tcPr>
            <w:tcW w:w="1276" w:type="dxa"/>
            <w:tcBorders>
              <w:left w:val="single" w:sz="18" w:space="0" w:color="auto"/>
            </w:tcBorders>
            <w:shd w:val="clear" w:color="auto" w:fill="auto"/>
            <w:vAlign w:val="center"/>
          </w:tcPr>
          <w:p w14:paraId="51E2795F" w14:textId="61CBA72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181.5</w:t>
            </w:r>
          </w:p>
        </w:tc>
        <w:tc>
          <w:tcPr>
            <w:tcW w:w="1276" w:type="dxa"/>
            <w:shd w:val="clear" w:color="auto" w:fill="auto"/>
            <w:vAlign w:val="center"/>
          </w:tcPr>
          <w:p w14:paraId="78571E28" w14:textId="5CF46A9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194.4</w:t>
            </w:r>
          </w:p>
        </w:tc>
        <w:tc>
          <w:tcPr>
            <w:tcW w:w="1418" w:type="dxa"/>
            <w:tcBorders>
              <w:right w:val="single" w:sz="18" w:space="0" w:color="auto"/>
            </w:tcBorders>
            <w:shd w:val="clear" w:color="auto" w:fill="auto"/>
            <w:vAlign w:val="center"/>
          </w:tcPr>
          <w:p w14:paraId="412CCCE8" w14:textId="2D508096"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+ 7.1 %</w:t>
            </w:r>
          </w:p>
        </w:tc>
      </w:tr>
      <w:tr w:rsidR="00B3356B" w:rsidRPr="00397CC5" w:rsidDel="0033104F" w14:paraId="23EF2F30" w14:textId="77777777" w:rsidTr="00DE3D5A">
        <w:tc>
          <w:tcPr>
            <w:tcW w:w="3969" w:type="dxa"/>
            <w:tcBorders>
              <w:right w:val="single" w:sz="4" w:space="0" w:color="auto"/>
            </w:tcBorders>
            <w:shd w:val="clear" w:color="auto" w:fill="auto"/>
          </w:tcPr>
          <w:p w14:paraId="7FC2471F" w14:textId="2D4FBCEF" w:rsidR="00B3356B" w:rsidRPr="00397CC5" w:rsidRDefault="00B3356B" w:rsidP="00927315">
            <w:pPr>
              <w:suppressAutoHyphens/>
              <w:rPr>
                <w:rFonts w:ascii="CorpoS" w:hAnsi="CorpoS"/>
                <w:i/>
                <w:sz w:val="22"/>
                <w:szCs w:val="22"/>
                <w:lang w:val="en-US"/>
              </w:rPr>
            </w:pPr>
            <w:r w:rsidRPr="0009657C">
              <w:rPr>
                <w:rFonts w:ascii="CorpoS" w:hAnsi="CorpoS"/>
                <w:i/>
                <w:sz w:val="22"/>
                <w:szCs w:val="22"/>
                <w:lang w:val="en-US"/>
              </w:rPr>
              <w:t>EBIT</w:t>
            </w:r>
            <w:r>
              <w:rPr>
                <w:rFonts w:ascii="CorpoS" w:hAnsi="CorpoS"/>
                <w:i/>
                <w:sz w:val="22"/>
                <w:szCs w:val="22"/>
                <w:lang w:val="en-US"/>
              </w:rPr>
              <w:t xml:space="preserve"> margin</w:t>
            </w:r>
            <w:r w:rsidRPr="0009657C">
              <w:rPr>
                <w:rFonts w:ascii="CorpoS" w:hAnsi="CorpoS"/>
                <w:i/>
                <w:sz w:val="22"/>
                <w:szCs w:val="22"/>
                <w:lang w:val="en-US"/>
              </w:rPr>
              <w:t xml:space="preserve"> (</w:t>
            </w:r>
            <w:r>
              <w:rPr>
                <w:rFonts w:ascii="CorpoS" w:hAnsi="CorpoS"/>
                <w:i/>
                <w:sz w:val="22"/>
                <w:szCs w:val="22"/>
                <w:lang w:val="en-US"/>
              </w:rPr>
              <w:t>adjusted</w:t>
            </w:r>
            <w:r w:rsidRPr="0009657C">
              <w:rPr>
                <w:rFonts w:ascii="CorpoS" w:hAnsi="CorpoS"/>
                <w:i/>
                <w:sz w:val="22"/>
                <w:szCs w:val="22"/>
                <w:lang w:val="en-US"/>
              </w:rPr>
              <w:t>)</w:t>
            </w:r>
          </w:p>
        </w:tc>
        <w:tc>
          <w:tcPr>
            <w:tcW w:w="1134" w:type="dxa"/>
            <w:tcBorders>
              <w:left w:val="single" w:sz="4" w:space="0" w:color="auto"/>
              <w:right w:val="single" w:sz="4" w:space="0" w:color="auto"/>
            </w:tcBorders>
            <w:vAlign w:val="center"/>
          </w:tcPr>
          <w:p w14:paraId="5B2F5CAE" w14:textId="77141894"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8.2 %</w:t>
            </w:r>
          </w:p>
        </w:tc>
        <w:tc>
          <w:tcPr>
            <w:tcW w:w="1134" w:type="dxa"/>
            <w:tcBorders>
              <w:left w:val="single" w:sz="4" w:space="0" w:color="auto"/>
              <w:right w:val="single" w:sz="18" w:space="0" w:color="auto"/>
            </w:tcBorders>
            <w:vAlign w:val="center"/>
          </w:tcPr>
          <w:p w14:paraId="4303791F" w14:textId="6AF95F85"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12.1 %</w:t>
            </w:r>
          </w:p>
        </w:tc>
        <w:tc>
          <w:tcPr>
            <w:tcW w:w="1276" w:type="dxa"/>
            <w:tcBorders>
              <w:left w:val="single" w:sz="18" w:space="0" w:color="auto"/>
            </w:tcBorders>
            <w:shd w:val="clear" w:color="auto" w:fill="auto"/>
            <w:vAlign w:val="center"/>
          </w:tcPr>
          <w:p w14:paraId="774A620A" w14:textId="7BD267C6"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10.6 %</w:t>
            </w:r>
          </w:p>
        </w:tc>
        <w:tc>
          <w:tcPr>
            <w:tcW w:w="1276" w:type="dxa"/>
            <w:shd w:val="clear" w:color="auto" w:fill="auto"/>
            <w:vAlign w:val="center"/>
          </w:tcPr>
          <w:p w14:paraId="7BA01A48" w14:textId="3820EA9A"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12.0 %</w:t>
            </w:r>
          </w:p>
        </w:tc>
        <w:tc>
          <w:tcPr>
            <w:tcW w:w="1418" w:type="dxa"/>
            <w:tcBorders>
              <w:right w:val="single" w:sz="18" w:space="0" w:color="auto"/>
            </w:tcBorders>
            <w:shd w:val="clear" w:color="auto" w:fill="auto"/>
            <w:vAlign w:val="center"/>
          </w:tcPr>
          <w:p w14:paraId="481D37B6" w14:textId="78F64600"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B3356B" w:rsidRPr="00397CC5" w:rsidDel="0033104F" w14:paraId="77E75FBD" w14:textId="77777777" w:rsidTr="00DE3D5A">
        <w:tc>
          <w:tcPr>
            <w:tcW w:w="3969" w:type="dxa"/>
            <w:tcBorders>
              <w:right w:val="single" w:sz="4" w:space="0" w:color="auto"/>
            </w:tcBorders>
            <w:shd w:val="clear" w:color="auto" w:fill="auto"/>
          </w:tcPr>
          <w:p w14:paraId="29F217C2" w14:textId="6B14C250" w:rsidR="00B3356B" w:rsidRPr="00397CC5" w:rsidRDefault="00B3356B" w:rsidP="00927315">
            <w:pPr>
              <w:tabs>
                <w:tab w:val="left" w:pos="176"/>
              </w:tabs>
              <w:suppressAutoHyphen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w:t>
            </w:r>
            <w:r w:rsidRPr="0009657C">
              <w:rPr>
                <w:rFonts w:ascii="CorpoS" w:hAnsi="CorpoS"/>
                <w:i/>
                <w:sz w:val="22"/>
                <w:szCs w:val="22"/>
                <w:lang w:val="en-US"/>
              </w:rPr>
              <w:t xml:space="preserve"> OEM</w:t>
            </w:r>
            <w:r>
              <w:rPr>
                <w:rFonts w:ascii="CorpoS" w:hAnsi="CorpoS"/>
                <w:i/>
                <w:sz w:val="22"/>
                <w:szCs w:val="22"/>
                <w:lang w:val="en-US"/>
              </w:rPr>
              <w:t xml:space="preserve"> business</w:t>
            </w:r>
          </w:p>
        </w:tc>
        <w:tc>
          <w:tcPr>
            <w:tcW w:w="1134" w:type="dxa"/>
            <w:tcBorders>
              <w:left w:val="single" w:sz="4" w:space="0" w:color="auto"/>
              <w:right w:val="single" w:sz="4" w:space="0" w:color="auto"/>
            </w:tcBorders>
            <w:vAlign w:val="center"/>
          </w:tcPr>
          <w:p w14:paraId="478646B7" w14:textId="58FFD69B"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7.0 %</w:t>
            </w:r>
          </w:p>
        </w:tc>
        <w:tc>
          <w:tcPr>
            <w:tcW w:w="1134" w:type="dxa"/>
            <w:tcBorders>
              <w:left w:val="single" w:sz="4" w:space="0" w:color="auto"/>
              <w:right w:val="single" w:sz="18" w:space="0" w:color="auto"/>
            </w:tcBorders>
            <w:vAlign w:val="center"/>
          </w:tcPr>
          <w:p w14:paraId="0553C123" w14:textId="06223FE1"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13.9 %</w:t>
            </w:r>
          </w:p>
        </w:tc>
        <w:tc>
          <w:tcPr>
            <w:tcW w:w="1276" w:type="dxa"/>
            <w:tcBorders>
              <w:left w:val="single" w:sz="18" w:space="0" w:color="auto"/>
            </w:tcBorders>
            <w:shd w:val="clear" w:color="auto" w:fill="auto"/>
            <w:vAlign w:val="center"/>
          </w:tcPr>
          <w:p w14:paraId="79250958" w14:textId="51E41DE0"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11.1 %</w:t>
            </w:r>
          </w:p>
        </w:tc>
        <w:tc>
          <w:tcPr>
            <w:tcW w:w="1276" w:type="dxa"/>
            <w:shd w:val="clear" w:color="auto" w:fill="auto"/>
            <w:vAlign w:val="center"/>
          </w:tcPr>
          <w:p w14:paraId="1CE46690" w14:textId="61D4DB67"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14.3 %</w:t>
            </w:r>
          </w:p>
        </w:tc>
        <w:tc>
          <w:tcPr>
            <w:tcW w:w="1418" w:type="dxa"/>
            <w:tcBorders>
              <w:right w:val="single" w:sz="18" w:space="0" w:color="auto"/>
            </w:tcBorders>
            <w:shd w:val="clear" w:color="auto" w:fill="auto"/>
            <w:vAlign w:val="center"/>
          </w:tcPr>
          <w:p w14:paraId="013F63E1" w14:textId="558E2222"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B3356B" w:rsidRPr="00397CC5" w:rsidDel="0033104F" w14:paraId="226FEB68" w14:textId="77777777" w:rsidTr="00DE3D5A">
        <w:tc>
          <w:tcPr>
            <w:tcW w:w="3969" w:type="dxa"/>
            <w:tcBorders>
              <w:right w:val="single" w:sz="4" w:space="0" w:color="auto"/>
            </w:tcBorders>
            <w:shd w:val="clear" w:color="auto" w:fill="auto"/>
          </w:tcPr>
          <w:p w14:paraId="0250CDED" w14:textId="4DB51812" w:rsidR="00B3356B" w:rsidRPr="00397CC5" w:rsidRDefault="00B3356B" w:rsidP="00927315">
            <w:pPr>
              <w:suppressAutoHyphen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 commercial maintenance</w:t>
            </w:r>
          </w:p>
        </w:tc>
        <w:tc>
          <w:tcPr>
            <w:tcW w:w="1134" w:type="dxa"/>
            <w:tcBorders>
              <w:left w:val="single" w:sz="4" w:space="0" w:color="auto"/>
              <w:right w:val="single" w:sz="4" w:space="0" w:color="auto"/>
            </w:tcBorders>
            <w:vAlign w:val="center"/>
          </w:tcPr>
          <w:p w14:paraId="70F8AA47" w14:textId="69D8E746"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9.6 %</w:t>
            </w:r>
          </w:p>
        </w:tc>
        <w:tc>
          <w:tcPr>
            <w:tcW w:w="1134" w:type="dxa"/>
            <w:tcBorders>
              <w:left w:val="single" w:sz="4" w:space="0" w:color="auto"/>
              <w:right w:val="single" w:sz="18" w:space="0" w:color="auto"/>
            </w:tcBorders>
            <w:vAlign w:val="center"/>
          </w:tcPr>
          <w:p w14:paraId="0EA953F1" w14:textId="412D6902"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8.5 %</w:t>
            </w:r>
          </w:p>
        </w:tc>
        <w:tc>
          <w:tcPr>
            <w:tcW w:w="1276" w:type="dxa"/>
            <w:tcBorders>
              <w:left w:val="single" w:sz="18" w:space="0" w:color="auto"/>
            </w:tcBorders>
            <w:shd w:val="clear" w:color="auto" w:fill="auto"/>
            <w:vAlign w:val="center"/>
          </w:tcPr>
          <w:p w14:paraId="11060F8F" w14:textId="375AF976"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9.5 %</w:t>
            </w:r>
          </w:p>
        </w:tc>
        <w:tc>
          <w:tcPr>
            <w:tcW w:w="1276" w:type="dxa"/>
            <w:shd w:val="clear" w:color="auto" w:fill="auto"/>
            <w:vAlign w:val="center"/>
          </w:tcPr>
          <w:p w14:paraId="308F8D9C" w14:textId="3DF1E6DE"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8.5 %</w:t>
            </w:r>
          </w:p>
        </w:tc>
        <w:tc>
          <w:tcPr>
            <w:tcW w:w="1418" w:type="dxa"/>
            <w:tcBorders>
              <w:right w:val="single" w:sz="18" w:space="0" w:color="auto"/>
            </w:tcBorders>
            <w:shd w:val="clear" w:color="auto" w:fill="auto"/>
            <w:vAlign w:val="center"/>
          </w:tcPr>
          <w:p w14:paraId="0E38570B" w14:textId="452119D0"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w:t>
            </w:r>
          </w:p>
        </w:tc>
      </w:tr>
      <w:tr w:rsidR="00B3356B" w:rsidRPr="00397CC5" w14:paraId="5CA7D6A2" w14:textId="77777777" w:rsidTr="00DE3D5A">
        <w:tc>
          <w:tcPr>
            <w:tcW w:w="3969" w:type="dxa"/>
            <w:tcBorders>
              <w:right w:val="single" w:sz="4" w:space="0" w:color="auto"/>
            </w:tcBorders>
            <w:shd w:val="clear" w:color="auto" w:fill="auto"/>
          </w:tcPr>
          <w:p w14:paraId="3AA6C747" w14:textId="5FCC883D"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Net </w:t>
            </w:r>
            <w:r>
              <w:rPr>
                <w:rFonts w:ascii="CorpoS" w:hAnsi="CorpoS"/>
                <w:sz w:val="22"/>
                <w:szCs w:val="22"/>
                <w:lang w:val="en-US"/>
              </w:rPr>
              <w:t>i</w:t>
            </w:r>
            <w:r w:rsidRPr="0009657C">
              <w:rPr>
                <w:rFonts w:ascii="CorpoS" w:hAnsi="CorpoS"/>
                <w:sz w:val="22"/>
                <w:szCs w:val="22"/>
                <w:lang w:val="en-US"/>
              </w:rPr>
              <w:t>ncome (</w:t>
            </w:r>
            <w:r>
              <w:rPr>
                <w:rFonts w:ascii="CorpoS" w:hAnsi="CorpoS"/>
                <w:sz w:val="22"/>
                <w:szCs w:val="22"/>
                <w:lang w:val="en-US"/>
              </w:rPr>
              <w:t>adjusted</w:t>
            </w:r>
            <w:r w:rsidRPr="0009657C">
              <w:rPr>
                <w:rFonts w:ascii="CorpoS" w:hAnsi="CorpoS"/>
                <w:sz w:val="22"/>
                <w:szCs w:val="22"/>
                <w:lang w:val="en-US"/>
              </w:rPr>
              <w:t>)</w:t>
            </w:r>
          </w:p>
        </w:tc>
        <w:tc>
          <w:tcPr>
            <w:tcW w:w="1134" w:type="dxa"/>
            <w:tcBorders>
              <w:left w:val="single" w:sz="4" w:space="0" w:color="auto"/>
              <w:right w:val="single" w:sz="4" w:space="0" w:color="auto"/>
            </w:tcBorders>
            <w:vAlign w:val="center"/>
          </w:tcPr>
          <w:p w14:paraId="2B37C81C" w14:textId="55098F14"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72.0</w:t>
            </w:r>
          </w:p>
        </w:tc>
        <w:tc>
          <w:tcPr>
            <w:tcW w:w="1134" w:type="dxa"/>
            <w:tcBorders>
              <w:left w:val="single" w:sz="4" w:space="0" w:color="auto"/>
              <w:right w:val="single" w:sz="18" w:space="0" w:color="auto"/>
            </w:tcBorders>
            <w:vAlign w:val="center"/>
          </w:tcPr>
          <w:p w14:paraId="1604A16E" w14:textId="4DACDE86"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108.7</w:t>
            </w:r>
          </w:p>
        </w:tc>
        <w:tc>
          <w:tcPr>
            <w:tcW w:w="1276" w:type="dxa"/>
            <w:tcBorders>
              <w:left w:val="single" w:sz="18" w:space="0" w:color="auto"/>
            </w:tcBorders>
            <w:shd w:val="clear" w:color="auto" w:fill="auto"/>
            <w:vAlign w:val="center"/>
          </w:tcPr>
          <w:p w14:paraId="4AB1C8D6" w14:textId="6285B95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345.4</w:t>
            </w:r>
          </w:p>
        </w:tc>
        <w:tc>
          <w:tcPr>
            <w:tcW w:w="1276" w:type="dxa"/>
            <w:shd w:val="clear" w:color="auto" w:fill="auto"/>
            <w:vAlign w:val="center"/>
          </w:tcPr>
          <w:p w14:paraId="21728559" w14:textId="7B8D8FF6"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429.1</w:t>
            </w:r>
          </w:p>
        </w:tc>
        <w:tc>
          <w:tcPr>
            <w:tcW w:w="1418" w:type="dxa"/>
            <w:tcBorders>
              <w:right w:val="single" w:sz="18" w:space="0" w:color="auto"/>
            </w:tcBorders>
            <w:shd w:val="clear" w:color="auto" w:fill="auto"/>
            <w:vAlign w:val="center"/>
          </w:tcPr>
          <w:p w14:paraId="4172655F" w14:textId="0461BD8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+ 24.2 %</w:t>
            </w:r>
          </w:p>
        </w:tc>
      </w:tr>
      <w:tr w:rsidR="00B3356B" w:rsidRPr="00397CC5" w14:paraId="21B61A1B" w14:textId="77777777" w:rsidTr="00DE3D5A">
        <w:tc>
          <w:tcPr>
            <w:tcW w:w="3969" w:type="dxa"/>
            <w:tcBorders>
              <w:right w:val="single" w:sz="4" w:space="0" w:color="auto"/>
            </w:tcBorders>
            <w:shd w:val="clear" w:color="auto" w:fill="auto"/>
          </w:tcPr>
          <w:p w14:paraId="2DE1FEFC" w14:textId="6ABC061F" w:rsidR="00B3356B" w:rsidRPr="00397CC5" w:rsidRDefault="00B3356B" w:rsidP="00927315">
            <w:pPr>
              <w:suppressAutoHyphens/>
              <w:rPr>
                <w:rFonts w:ascii="CorpoS" w:hAnsi="CorpoS"/>
                <w:sz w:val="22"/>
                <w:szCs w:val="22"/>
                <w:lang w:val="en-US"/>
              </w:rPr>
            </w:pPr>
            <w:r>
              <w:rPr>
                <w:rFonts w:ascii="CorpoS" w:hAnsi="CorpoS"/>
                <w:sz w:val="22"/>
                <w:szCs w:val="22"/>
                <w:lang w:val="en-US"/>
              </w:rPr>
              <w:t>Net i</w:t>
            </w:r>
            <w:r w:rsidRPr="0009657C">
              <w:rPr>
                <w:rFonts w:ascii="CorpoS" w:hAnsi="CorpoS"/>
                <w:sz w:val="22"/>
                <w:szCs w:val="22"/>
                <w:lang w:val="en-US"/>
              </w:rPr>
              <w:t>ncome (reported)</w:t>
            </w:r>
          </w:p>
        </w:tc>
        <w:tc>
          <w:tcPr>
            <w:tcW w:w="1134" w:type="dxa"/>
            <w:tcBorders>
              <w:left w:val="single" w:sz="4" w:space="0" w:color="auto"/>
              <w:right w:val="single" w:sz="4" w:space="0" w:color="auto"/>
            </w:tcBorders>
            <w:vAlign w:val="center"/>
          </w:tcPr>
          <w:p w14:paraId="51FFE63B" w14:textId="1911183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70.2</w:t>
            </w:r>
          </w:p>
        </w:tc>
        <w:tc>
          <w:tcPr>
            <w:tcW w:w="1134" w:type="dxa"/>
            <w:tcBorders>
              <w:left w:val="single" w:sz="4" w:space="0" w:color="auto"/>
              <w:right w:val="single" w:sz="18" w:space="0" w:color="auto"/>
            </w:tcBorders>
            <w:vAlign w:val="center"/>
          </w:tcPr>
          <w:p w14:paraId="613059B8" w14:textId="4F5F6C85"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84.5</w:t>
            </w:r>
          </w:p>
        </w:tc>
        <w:tc>
          <w:tcPr>
            <w:tcW w:w="1276" w:type="dxa"/>
            <w:tcBorders>
              <w:left w:val="single" w:sz="18" w:space="0" w:color="auto"/>
            </w:tcBorders>
            <w:shd w:val="clear" w:color="auto" w:fill="auto"/>
            <w:vAlign w:val="center"/>
          </w:tcPr>
          <w:p w14:paraId="16EEE474" w14:textId="4DCF980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312.6</w:t>
            </w:r>
          </w:p>
        </w:tc>
        <w:tc>
          <w:tcPr>
            <w:tcW w:w="1276" w:type="dxa"/>
            <w:shd w:val="clear" w:color="auto" w:fill="auto"/>
            <w:vAlign w:val="center"/>
          </w:tcPr>
          <w:p w14:paraId="65BEEC3D" w14:textId="69E1D1D4"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381.8</w:t>
            </w:r>
          </w:p>
        </w:tc>
        <w:tc>
          <w:tcPr>
            <w:tcW w:w="1418" w:type="dxa"/>
            <w:tcBorders>
              <w:right w:val="single" w:sz="18" w:space="0" w:color="auto"/>
            </w:tcBorders>
            <w:shd w:val="clear" w:color="auto" w:fill="auto"/>
            <w:vAlign w:val="center"/>
          </w:tcPr>
          <w:p w14:paraId="6879BF8B" w14:textId="34B1B9D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+ 22.1 %</w:t>
            </w:r>
          </w:p>
        </w:tc>
      </w:tr>
      <w:tr w:rsidR="00B3356B" w:rsidRPr="00397CC5" w14:paraId="0C632B9E" w14:textId="77777777" w:rsidTr="00DE3D5A">
        <w:tc>
          <w:tcPr>
            <w:tcW w:w="3969" w:type="dxa"/>
            <w:tcBorders>
              <w:right w:val="single" w:sz="4" w:space="0" w:color="auto"/>
            </w:tcBorders>
            <w:shd w:val="clear" w:color="auto" w:fill="auto"/>
          </w:tcPr>
          <w:p w14:paraId="621432C8" w14:textId="2265A3D5"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arnings per share</w:t>
            </w:r>
            <w:r w:rsidRPr="0009657C">
              <w:rPr>
                <w:rFonts w:ascii="CorpoS" w:hAnsi="CorpoS"/>
                <w:sz w:val="22"/>
                <w:szCs w:val="22"/>
                <w:lang w:val="en-US"/>
              </w:rPr>
              <w:t xml:space="preserve"> (un</w:t>
            </w:r>
            <w:r>
              <w:rPr>
                <w:rFonts w:ascii="CorpoS" w:hAnsi="CorpoS"/>
                <w:sz w:val="22"/>
                <w:szCs w:val="22"/>
                <w:lang w:val="en-US"/>
              </w:rPr>
              <w:t>diluted</w:t>
            </w:r>
            <w:r w:rsidRPr="0009657C">
              <w:rPr>
                <w:rFonts w:ascii="CorpoS" w:hAnsi="CorpoS"/>
                <w:sz w:val="22"/>
                <w:szCs w:val="22"/>
                <w:lang w:val="en-US"/>
              </w:rPr>
              <w:t>, reported)</w:t>
            </w:r>
          </w:p>
        </w:tc>
        <w:tc>
          <w:tcPr>
            <w:tcW w:w="1134" w:type="dxa"/>
            <w:tcBorders>
              <w:left w:val="single" w:sz="4" w:space="0" w:color="auto"/>
              <w:right w:val="single" w:sz="4" w:space="0" w:color="auto"/>
            </w:tcBorders>
            <w:vAlign w:val="center"/>
          </w:tcPr>
          <w:p w14:paraId="3BED0C9B" w14:textId="2D5038D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1.37</w:t>
            </w:r>
          </w:p>
        </w:tc>
        <w:tc>
          <w:tcPr>
            <w:tcW w:w="1134" w:type="dxa"/>
            <w:tcBorders>
              <w:left w:val="single" w:sz="4" w:space="0" w:color="auto"/>
              <w:right w:val="single" w:sz="18" w:space="0" w:color="auto"/>
            </w:tcBorders>
            <w:vAlign w:val="center"/>
          </w:tcPr>
          <w:p w14:paraId="10096A02" w14:textId="26BF223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1.61</w:t>
            </w:r>
          </w:p>
        </w:tc>
        <w:tc>
          <w:tcPr>
            <w:tcW w:w="1276" w:type="dxa"/>
            <w:tcBorders>
              <w:left w:val="single" w:sz="18" w:space="0" w:color="auto"/>
            </w:tcBorders>
            <w:shd w:val="clear" w:color="auto" w:fill="auto"/>
            <w:vAlign w:val="center"/>
          </w:tcPr>
          <w:p w14:paraId="54347E15" w14:textId="03CFE8DB"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6.09</w:t>
            </w:r>
          </w:p>
        </w:tc>
        <w:tc>
          <w:tcPr>
            <w:tcW w:w="1276" w:type="dxa"/>
            <w:shd w:val="clear" w:color="auto" w:fill="auto"/>
            <w:vAlign w:val="center"/>
          </w:tcPr>
          <w:p w14:paraId="7CD5BDAC" w14:textId="4EBB5C62"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7.35</w:t>
            </w:r>
          </w:p>
        </w:tc>
        <w:tc>
          <w:tcPr>
            <w:tcW w:w="1418" w:type="dxa"/>
            <w:tcBorders>
              <w:right w:val="single" w:sz="18" w:space="0" w:color="auto"/>
            </w:tcBorders>
            <w:shd w:val="clear" w:color="auto" w:fill="auto"/>
            <w:vAlign w:val="center"/>
          </w:tcPr>
          <w:p w14:paraId="2EDA6BB8" w14:textId="6FD91995" w:rsidR="00B3356B" w:rsidRPr="00397CC5" w:rsidRDefault="00B3356B" w:rsidP="003F3FD0">
            <w:pPr>
              <w:suppressAutoHyphens/>
              <w:ind w:firstLineChars="100" w:firstLine="220"/>
              <w:jc w:val="right"/>
              <w:rPr>
                <w:rFonts w:ascii="CorpoS" w:hAnsi="CorpoS" w:cs="Arial"/>
                <w:sz w:val="22"/>
                <w:szCs w:val="22"/>
                <w:lang w:val="en-US"/>
              </w:rPr>
            </w:pPr>
            <w:r>
              <w:rPr>
                <w:rFonts w:ascii="CorpoS" w:hAnsi="CorpoS" w:cs="Arial"/>
                <w:sz w:val="22"/>
                <w:szCs w:val="22"/>
              </w:rPr>
              <w:t>20.</w:t>
            </w:r>
            <w:r w:rsidR="003F3FD0">
              <w:rPr>
                <w:rFonts w:ascii="CorpoS" w:hAnsi="CorpoS" w:cs="Arial"/>
                <w:sz w:val="22"/>
                <w:szCs w:val="22"/>
              </w:rPr>
              <w:t>7</w:t>
            </w:r>
            <w:r>
              <w:rPr>
                <w:rFonts w:ascii="CorpoS" w:hAnsi="CorpoS" w:cs="Arial"/>
                <w:sz w:val="22"/>
                <w:szCs w:val="22"/>
              </w:rPr>
              <w:t xml:space="preserve"> %</w:t>
            </w:r>
          </w:p>
        </w:tc>
      </w:tr>
      <w:tr w:rsidR="00B3356B" w:rsidRPr="00397CC5" w14:paraId="62BB48AC" w14:textId="77777777" w:rsidTr="00DE3D5A">
        <w:tc>
          <w:tcPr>
            <w:tcW w:w="3969" w:type="dxa"/>
            <w:tcBorders>
              <w:right w:val="single" w:sz="4" w:space="0" w:color="auto"/>
            </w:tcBorders>
            <w:shd w:val="clear" w:color="auto" w:fill="auto"/>
          </w:tcPr>
          <w:p w14:paraId="538D0199" w14:textId="467BB05F"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Free </w:t>
            </w:r>
            <w:r>
              <w:rPr>
                <w:rFonts w:ascii="CorpoS" w:hAnsi="CorpoS"/>
                <w:sz w:val="22"/>
                <w:szCs w:val="22"/>
                <w:lang w:val="en-US"/>
              </w:rPr>
              <w:t>c</w:t>
            </w:r>
            <w:r w:rsidRPr="0009657C">
              <w:rPr>
                <w:rFonts w:ascii="CorpoS" w:hAnsi="CorpoS"/>
                <w:sz w:val="22"/>
                <w:szCs w:val="22"/>
                <w:lang w:val="en-US"/>
              </w:rPr>
              <w:t>ash</w:t>
            </w:r>
            <w:r>
              <w:rPr>
                <w:rFonts w:ascii="CorpoS" w:hAnsi="CorpoS"/>
                <w:sz w:val="22"/>
                <w:szCs w:val="22"/>
                <w:lang w:val="en-US"/>
              </w:rPr>
              <w:t xml:space="preserve"> </w:t>
            </w:r>
            <w:r w:rsidRPr="0009657C">
              <w:rPr>
                <w:rFonts w:ascii="CorpoS" w:hAnsi="CorpoS"/>
                <w:sz w:val="22"/>
                <w:szCs w:val="22"/>
                <w:lang w:val="en-US"/>
              </w:rPr>
              <w:t>flow</w:t>
            </w:r>
          </w:p>
        </w:tc>
        <w:tc>
          <w:tcPr>
            <w:tcW w:w="1134" w:type="dxa"/>
            <w:tcBorders>
              <w:left w:val="single" w:sz="4" w:space="0" w:color="auto"/>
              <w:right w:val="single" w:sz="4" w:space="0" w:color="auto"/>
            </w:tcBorders>
            <w:vAlign w:val="center"/>
          </w:tcPr>
          <w:p w14:paraId="63832312" w14:textId="081B2DC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7.0</w:t>
            </w:r>
          </w:p>
        </w:tc>
        <w:tc>
          <w:tcPr>
            <w:tcW w:w="1134" w:type="dxa"/>
            <w:tcBorders>
              <w:left w:val="single" w:sz="4" w:space="0" w:color="auto"/>
              <w:right w:val="single" w:sz="18" w:space="0" w:color="auto"/>
            </w:tcBorders>
            <w:vAlign w:val="center"/>
          </w:tcPr>
          <w:p w14:paraId="38E5573C" w14:textId="74EB4DEB"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32.0</w:t>
            </w:r>
          </w:p>
        </w:tc>
        <w:tc>
          <w:tcPr>
            <w:tcW w:w="1276" w:type="dxa"/>
            <w:tcBorders>
              <w:left w:val="single" w:sz="18" w:space="0" w:color="auto"/>
            </w:tcBorders>
            <w:shd w:val="clear" w:color="auto" w:fill="auto"/>
            <w:vAlign w:val="center"/>
          </w:tcPr>
          <w:p w14:paraId="51506FA3" w14:textId="099EFD06"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82.0</w:t>
            </w:r>
          </w:p>
        </w:tc>
        <w:tc>
          <w:tcPr>
            <w:tcW w:w="1276" w:type="dxa"/>
            <w:shd w:val="clear" w:color="auto" w:fill="auto"/>
            <w:vAlign w:val="center"/>
          </w:tcPr>
          <w:p w14:paraId="15D7AE10" w14:textId="25281BA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151.1</w:t>
            </w:r>
          </w:p>
        </w:tc>
        <w:tc>
          <w:tcPr>
            <w:tcW w:w="1418" w:type="dxa"/>
            <w:tcBorders>
              <w:right w:val="single" w:sz="18" w:space="0" w:color="auto"/>
            </w:tcBorders>
            <w:shd w:val="clear" w:color="auto" w:fill="auto"/>
            <w:vAlign w:val="center"/>
          </w:tcPr>
          <w:p w14:paraId="0E3D5A3B" w14:textId="6D688B9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+ 84.3 %</w:t>
            </w:r>
          </w:p>
        </w:tc>
      </w:tr>
      <w:tr w:rsidR="00B3356B" w:rsidRPr="00397CC5" w14:paraId="09352073" w14:textId="77777777" w:rsidTr="00DE3D5A">
        <w:tc>
          <w:tcPr>
            <w:tcW w:w="3969" w:type="dxa"/>
            <w:tcBorders>
              <w:right w:val="single" w:sz="4" w:space="0" w:color="auto"/>
            </w:tcBorders>
            <w:shd w:val="clear" w:color="auto" w:fill="auto"/>
          </w:tcPr>
          <w:p w14:paraId="45DFD403" w14:textId="70C1222F" w:rsidR="00B3356B" w:rsidRPr="00397CC5" w:rsidRDefault="00B3356B" w:rsidP="00927315">
            <w:pPr>
              <w:suppressAutoHyphens/>
              <w:rPr>
                <w:rFonts w:ascii="CorpoS" w:hAnsi="CorpoS"/>
                <w:sz w:val="22"/>
                <w:szCs w:val="22"/>
                <w:lang w:val="en-US"/>
              </w:rPr>
            </w:pPr>
            <w:r>
              <w:rPr>
                <w:rFonts w:ascii="CorpoS" w:hAnsi="CorpoS"/>
                <w:sz w:val="22"/>
                <w:szCs w:val="22"/>
                <w:lang w:val="en-US"/>
              </w:rPr>
              <w:t>Research and development expenses</w:t>
            </w:r>
          </w:p>
        </w:tc>
        <w:tc>
          <w:tcPr>
            <w:tcW w:w="1134" w:type="dxa"/>
            <w:tcBorders>
              <w:left w:val="single" w:sz="4" w:space="0" w:color="auto"/>
              <w:right w:val="single" w:sz="4" w:space="0" w:color="auto"/>
            </w:tcBorders>
            <w:vAlign w:val="center"/>
          </w:tcPr>
          <w:p w14:paraId="36D555A6" w14:textId="18E5661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50.7</w:t>
            </w:r>
          </w:p>
        </w:tc>
        <w:tc>
          <w:tcPr>
            <w:tcW w:w="1134" w:type="dxa"/>
            <w:tcBorders>
              <w:left w:val="single" w:sz="4" w:space="0" w:color="auto"/>
              <w:right w:val="single" w:sz="18" w:space="0" w:color="auto"/>
            </w:tcBorders>
            <w:vAlign w:val="center"/>
          </w:tcPr>
          <w:p w14:paraId="3143A3FD" w14:textId="074759F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37.3</w:t>
            </w:r>
          </w:p>
        </w:tc>
        <w:tc>
          <w:tcPr>
            <w:tcW w:w="1276" w:type="dxa"/>
            <w:tcBorders>
              <w:left w:val="single" w:sz="18" w:space="0" w:color="auto"/>
            </w:tcBorders>
            <w:shd w:val="clear" w:color="auto" w:fill="auto"/>
            <w:vAlign w:val="center"/>
          </w:tcPr>
          <w:p w14:paraId="0AF6DCDB" w14:textId="0BE147B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208.6</w:t>
            </w:r>
          </w:p>
        </w:tc>
        <w:tc>
          <w:tcPr>
            <w:tcW w:w="1276" w:type="dxa"/>
            <w:shd w:val="clear" w:color="auto" w:fill="auto"/>
            <w:vAlign w:val="center"/>
          </w:tcPr>
          <w:p w14:paraId="3B837D06" w14:textId="698813D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199.7</w:t>
            </w:r>
          </w:p>
        </w:tc>
        <w:tc>
          <w:tcPr>
            <w:tcW w:w="1418" w:type="dxa"/>
            <w:tcBorders>
              <w:right w:val="single" w:sz="18" w:space="0" w:color="auto"/>
            </w:tcBorders>
            <w:shd w:val="clear" w:color="auto" w:fill="auto"/>
            <w:vAlign w:val="center"/>
          </w:tcPr>
          <w:p w14:paraId="3E602340" w14:textId="5EC11AEB"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- 4.3 %</w:t>
            </w:r>
          </w:p>
        </w:tc>
      </w:tr>
      <w:tr w:rsidR="00B3356B" w:rsidRPr="00397CC5" w14:paraId="54ECAA23" w14:textId="77777777" w:rsidTr="00DE3D5A">
        <w:tc>
          <w:tcPr>
            <w:tcW w:w="3969" w:type="dxa"/>
            <w:tcBorders>
              <w:right w:val="single" w:sz="4" w:space="0" w:color="auto"/>
            </w:tcBorders>
            <w:shd w:val="clear" w:color="auto" w:fill="auto"/>
          </w:tcPr>
          <w:p w14:paraId="562A9938" w14:textId="65B9923B"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company-funded </w:t>
            </w:r>
          </w:p>
        </w:tc>
        <w:tc>
          <w:tcPr>
            <w:tcW w:w="1134" w:type="dxa"/>
            <w:tcBorders>
              <w:left w:val="single" w:sz="4" w:space="0" w:color="auto"/>
              <w:right w:val="single" w:sz="4" w:space="0" w:color="auto"/>
            </w:tcBorders>
            <w:vAlign w:val="center"/>
          </w:tcPr>
          <w:p w14:paraId="3B44D116" w14:textId="10DB29DC"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40.9</w:t>
            </w:r>
          </w:p>
        </w:tc>
        <w:tc>
          <w:tcPr>
            <w:tcW w:w="1134" w:type="dxa"/>
            <w:tcBorders>
              <w:left w:val="single" w:sz="4" w:space="0" w:color="auto"/>
              <w:right w:val="single" w:sz="18" w:space="0" w:color="auto"/>
            </w:tcBorders>
            <w:vAlign w:val="center"/>
          </w:tcPr>
          <w:p w14:paraId="5A16075E" w14:textId="60BE3E20"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31.7</w:t>
            </w:r>
          </w:p>
        </w:tc>
        <w:tc>
          <w:tcPr>
            <w:tcW w:w="1276" w:type="dxa"/>
            <w:tcBorders>
              <w:left w:val="single" w:sz="18" w:space="0" w:color="auto"/>
            </w:tcBorders>
            <w:shd w:val="clear" w:color="auto" w:fill="auto"/>
            <w:vAlign w:val="center"/>
          </w:tcPr>
          <w:p w14:paraId="1A257AD7" w14:textId="3DD4E23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168.0</w:t>
            </w:r>
          </w:p>
        </w:tc>
        <w:tc>
          <w:tcPr>
            <w:tcW w:w="1276" w:type="dxa"/>
            <w:shd w:val="clear" w:color="auto" w:fill="auto"/>
            <w:vAlign w:val="center"/>
          </w:tcPr>
          <w:p w14:paraId="2AE64DD8" w14:textId="0F079846"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167.8</w:t>
            </w:r>
          </w:p>
        </w:tc>
        <w:tc>
          <w:tcPr>
            <w:tcW w:w="1418" w:type="dxa"/>
            <w:tcBorders>
              <w:right w:val="single" w:sz="18" w:space="0" w:color="auto"/>
            </w:tcBorders>
            <w:shd w:val="clear" w:color="auto" w:fill="auto"/>
            <w:vAlign w:val="center"/>
          </w:tcPr>
          <w:p w14:paraId="604512BC" w14:textId="3132803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- 0.1 %</w:t>
            </w:r>
          </w:p>
        </w:tc>
      </w:tr>
      <w:tr w:rsidR="00B3356B" w:rsidRPr="00397CC5" w14:paraId="3C951177" w14:textId="77777777" w:rsidTr="00DE3D5A">
        <w:tc>
          <w:tcPr>
            <w:tcW w:w="3969" w:type="dxa"/>
            <w:tcBorders>
              <w:bottom w:val="single" w:sz="4" w:space="0" w:color="auto"/>
              <w:right w:val="single" w:sz="4" w:space="0" w:color="auto"/>
            </w:tcBorders>
            <w:shd w:val="clear" w:color="auto" w:fill="auto"/>
          </w:tcPr>
          <w:p w14:paraId="1647D383" w14:textId="7C202B88" w:rsidR="00B3356B" w:rsidRPr="00397CC5" w:rsidRDefault="00B3356B" w:rsidP="00927315">
            <w:pPr>
              <w:suppressAutoHyphens/>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outside-funded </w:t>
            </w:r>
          </w:p>
        </w:tc>
        <w:tc>
          <w:tcPr>
            <w:tcW w:w="1134" w:type="dxa"/>
            <w:tcBorders>
              <w:left w:val="single" w:sz="4" w:space="0" w:color="auto"/>
              <w:bottom w:val="single" w:sz="4" w:space="0" w:color="auto"/>
              <w:right w:val="single" w:sz="4" w:space="0" w:color="auto"/>
            </w:tcBorders>
            <w:vAlign w:val="center"/>
          </w:tcPr>
          <w:p w14:paraId="5C8A176A" w14:textId="3ABFBF2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9.8</w:t>
            </w:r>
          </w:p>
        </w:tc>
        <w:tc>
          <w:tcPr>
            <w:tcW w:w="1134" w:type="dxa"/>
            <w:tcBorders>
              <w:left w:val="single" w:sz="4" w:space="0" w:color="auto"/>
              <w:bottom w:val="single" w:sz="4" w:space="0" w:color="auto"/>
              <w:right w:val="single" w:sz="18" w:space="0" w:color="auto"/>
            </w:tcBorders>
            <w:vAlign w:val="center"/>
          </w:tcPr>
          <w:p w14:paraId="38B11AA5" w14:textId="0DA2577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5.6</w:t>
            </w:r>
          </w:p>
        </w:tc>
        <w:tc>
          <w:tcPr>
            <w:tcW w:w="1276" w:type="dxa"/>
            <w:tcBorders>
              <w:left w:val="single" w:sz="18" w:space="0" w:color="auto"/>
              <w:bottom w:val="single" w:sz="4" w:space="0" w:color="auto"/>
            </w:tcBorders>
            <w:shd w:val="clear" w:color="auto" w:fill="auto"/>
            <w:vAlign w:val="center"/>
          </w:tcPr>
          <w:p w14:paraId="7D57FD4F" w14:textId="2F420344"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40.6</w:t>
            </w:r>
          </w:p>
        </w:tc>
        <w:tc>
          <w:tcPr>
            <w:tcW w:w="1276" w:type="dxa"/>
            <w:tcBorders>
              <w:bottom w:val="single" w:sz="4" w:space="0" w:color="auto"/>
            </w:tcBorders>
            <w:shd w:val="clear" w:color="auto" w:fill="auto"/>
            <w:vAlign w:val="center"/>
          </w:tcPr>
          <w:p w14:paraId="339DC9F1" w14:textId="71162E0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31.9</w:t>
            </w:r>
          </w:p>
        </w:tc>
        <w:tc>
          <w:tcPr>
            <w:tcW w:w="1418" w:type="dxa"/>
            <w:tcBorders>
              <w:bottom w:val="single" w:sz="4" w:space="0" w:color="auto"/>
              <w:right w:val="single" w:sz="18" w:space="0" w:color="auto"/>
            </w:tcBorders>
            <w:shd w:val="clear" w:color="auto" w:fill="auto"/>
            <w:vAlign w:val="center"/>
          </w:tcPr>
          <w:p w14:paraId="47590156" w14:textId="796D8575"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- 21.4 %</w:t>
            </w:r>
          </w:p>
        </w:tc>
      </w:tr>
      <w:tr w:rsidR="00B3356B" w:rsidRPr="00397CC5" w14:paraId="0664EA43" w14:textId="77777777" w:rsidTr="00DE3D5A">
        <w:tc>
          <w:tcPr>
            <w:tcW w:w="3969" w:type="dxa"/>
            <w:tcBorders>
              <w:right w:val="single" w:sz="4" w:space="0" w:color="auto"/>
            </w:tcBorders>
            <w:shd w:val="clear" w:color="auto" w:fill="auto"/>
          </w:tcPr>
          <w:p w14:paraId="3DCBD82C" w14:textId="34971340" w:rsidR="00B3356B" w:rsidRPr="00397CC5" w:rsidRDefault="00B3356B" w:rsidP="00927315">
            <w:pPr>
              <w:suppressAutoHyphens/>
              <w:rPr>
                <w:rFonts w:ascii="CorpoS" w:hAnsi="CorpoS"/>
                <w:sz w:val="22"/>
                <w:szCs w:val="22"/>
                <w:lang w:val="en-US"/>
              </w:rPr>
            </w:pPr>
            <w:r>
              <w:rPr>
                <w:rFonts w:ascii="CorpoS" w:hAnsi="CorpoS"/>
                <w:i/>
                <w:sz w:val="22"/>
                <w:szCs w:val="22"/>
                <w:lang w:val="en-US"/>
              </w:rPr>
              <w:t>Company-funded R&amp;D expenditure</w:t>
            </w:r>
          </w:p>
        </w:tc>
        <w:tc>
          <w:tcPr>
            <w:tcW w:w="1134" w:type="dxa"/>
            <w:tcBorders>
              <w:left w:val="single" w:sz="4" w:space="0" w:color="auto"/>
              <w:right w:val="single" w:sz="4" w:space="0" w:color="auto"/>
            </w:tcBorders>
            <w:vAlign w:val="center"/>
          </w:tcPr>
          <w:p w14:paraId="5030F6EF" w14:textId="7FD12D4E"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18.0</w:t>
            </w:r>
          </w:p>
        </w:tc>
        <w:tc>
          <w:tcPr>
            <w:tcW w:w="1134" w:type="dxa"/>
            <w:tcBorders>
              <w:left w:val="single" w:sz="4" w:space="0" w:color="auto"/>
              <w:right w:val="single" w:sz="18" w:space="0" w:color="auto"/>
            </w:tcBorders>
            <w:vAlign w:val="center"/>
          </w:tcPr>
          <w:p w14:paraId="017E1EB2" w14:textId="7816973E"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27.1</w:t>
            </w:r>
          </w:p>
        </w:tc>
        <w:tc>
          <w:tcPr>
            <w:tcW w:w="1276" w:type="dxa"/>
            <w:tcBorders>
              <w:left w:val="single" w:sz="18" w:space="0" w:color="auto"/>
              <w:bottom w:val="single" w:sz="4" w:space="0" w:color="auto"/>
            </w:tcBorders>
            <w:shd w:val="clear" w:color="auto" w:fill="auto"/>
            <w:vAlign w:val="center"/>
          </w:tcPr>
          <w:p w14:paraId="5E6C4D68" w14:textId="4E866C4F"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71.1</w:t>
            </w:r>
          </w:p>
        </w:tc>
        <w:tc>
          <w:tcPr>
            <w:tcW w:w="1276" w:type="dxa"/>
            <w:tcBorders>
              <w:bottom w:val="single" w:sz="4" w:space="0" w:color="auto"/>
            </w:tcBorders>
            <w:shd w:val="clear" w:color="auto" w:fill="auto"/>
            <w:vAlign w:val="center"/>
          </w:tcPr>
          <w:p w14:paraId="7BE27834" w14:textId="1821090E"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76.6</w:t>
            </w:r>
          </w:p>
        </w:tc>
        <w:tc>
          <w:tcPr>
            <w:tcW w:w="1418" w:type="dxa"/>
            <w:tcBorders>
              <w:bottom w:val="single" w:sz="4" w:space="0" w:color="auto"/>
              <w:right w:val="single" w:sz="18" w:space="0" w:color="auto"/>
            </w:tcBorders>
            <w:shd w:val="clear" w:color="auto" w:fill="auto"/>
            <w:vAlign w:val="center"/>
          </w:tcPr>
          <w:p w14:paraId="3A2A5E00" w14:textId="79A5E4A4" w:rsidR="00B3356B" w:rsidRPr="00397CC5" w:rsidRDefault="00B3356B" w:rsidP="00927315">
            <w:pPr>
              <w:suppressAutoHyphens/>
              <w:ind w:firstLineChars="100" w:firstLine="220"/>
              <w:jc w:val="right"/>
              <w:rPr>
                <w:rFonts w:ascii="CorpoS" w:hAnsi="CorpoS" w:cs="Arial"/>
                <w:i/>
                <w:iCs/>
                <w:sz w:val="22"/>
                <w:szCs w:val="22"/>
                <w:lang w:val="en-US"/>
              </w:rPr>
            </w:pPr>
            <w:r>
              <w:rPr>
                <w:rFonts w:ascii="CorpoS" w:hAnsi="CorpoS" w:cs="Arial"/>
                <w:i/>
                <w:iCs/>
                <w:sz w:val="22"/>
                <w:szCs w:val="22"/>
              </w:rPr>
              <w:t>+ 7.7 %</w:t>
            </w:r>
          </w:p>
        </w:tc>
      </w:tr>
      <w:tr w:rsidR="00B3356B" w:rsidRPr="00397CC5" w14:paraId="7409F943" w14:textId="77777777" w:rsidTr="00DE3D5A">
        <w:tc>
          <w:tcPr>
            <w:tcW w:w="3969" w:type="dxa"/>
            <w:tcBorders>
              <w:right w:val="single" w:sz="4" w:space="0" w:color="auto"/>
            </w:tcBorders>
            <w:shd w:val="clear" w:color="auto" w:fill="auto"/>
          </w:tcPr>
          <w:p w14:paraId="687BD205" w14:textId="7AF77D2A" w:rsidR="00B3356B" w:rsidRPr="00397CC5" w:rsidRDefault="00B3356B" w:rsidP="000703BF">
            <w:pPr>
              <w:suppressAutoHyphens/>
              <w:rPr>
                <w:rFonts w:ascii="CorpoS" w:hAnsi="CorpoS"/>
                <w:sz w:val="22"/>
                <w:szCs w:val="22"/>
                <w:lang w:val="en-US"/>
              </w:rPr>
            </w:pPr>
            <w:r>
              <w:rPr>
                <w:rFonts w:ascii="CorpoS" w:hAnsi="CorpoS"/>
                <w:sz w:val="22"/>
                <w:szCs w:val="22"/>
                <w:lang w:val="en-US"/>
              </w:rPr>
              <w:t>Investment in property, plant and equipment</w:t>
            </w:r>
            <w:r w:rsidRPr="0009657C">
              <w:rPr>
                <w:rFonts w:ascii="CorpoS" w:hAnsi="CorpoS"/>
                <w:sz w:val="22"/>
                <w:szCs w:val="22"/>
                <w:lang w:val="en-US"/>
              </w:rPr>
              <w:t xml:space="preserve"> (net)</w:t>
            </w:r>
          </w:p>
        </w:tc>
        <w:tc>
          <w:tcPr>
            <w:tcW w:w="1134" w:type="dxa"/>
            <w:tcBorders>
              <w:left w:val="single" w:sz="4" w:space="0" w:color="auto"/>
              <w:right w:val="single" w:sz="4" w:space="0" w:color="auto"/>
            </w:tcBorders>
            <w:vAlign w:val="center"/>
          </w:tcPr>
          <w:p w14:paraId="7135072B" w14:textId="5E252864" w:rsidR="00B3356B" w:rsidRPr="00397CC5" w:rsidRDefault="00B3356B" w:rsidP="0006343C">
            <w:pPr>
              <w:suppressAutoHyphens/>
              <w:ind w:firstLineChars="100" w:firstLine="220"/>
              <w:jc w:val="right"/>
              <w:rPr>
                <w:rFonts w:ascii="CorpoS" w:hAnsi="CorpoS" w:cs="Arial"/>
                <w:sz w:val="22"/>
                <w:szCs w:val="22"/>
                <w:lang w:val="en-US"/>
              </w:rPr>
            </w:pPr>
            <w:r>
              <w:rPr>
                <w:rFonts w:ascii="CorpoS" w:hAnsi="CorpoS" w:cs="Arial"/>
                <w:sz w:val="22"/>
                <w:szCs w:val="22"/>
              </w:rPr>
              <w:t>63.2</w:t>
            </w:r>
          </w:p>
        </w:tc>
        <w:tc>
          <w:tcPr>
            <w:tcW w:w="1134" w:type="dxa"/>
            <w:tcBorders>
              <w:left w:val="single" w:sz="4" w:space="0" w:color="auto"/>
              <w:right w:val="single" w:sz="18" w:space="0" w:color="auto"/>
            </w:tcBorders>
            <w:vAlign w:val="center"/>
          </w:tcPr>
          <w:p w14:paraId="1A60F868" w14:textId="4B8DDC6B" w:rsidR="00B3356B" w:rsidRPr="00397CC5" w:rsidRDefault="00B3356B" w:rsidP="0006343C">
            <w:pPr>
              <w:suppressAutoHyphens/>
              <w:ind w:firstLineChars="100" w:firstLine="220"/>
              <w:jc w:val="right"/>
              <w:rPr>
                <w:rFonts w:ascii="CorpoS" w:hAnsi="CorpoS" w:cs="Arial"/>
                <w:sz w:val="22"/>
                <w:szCs w:val="22"/>
                <w:lang w:val="en-US"/>
              </w:rPr>
            </w:pPr>
            <w:r>
              <w:rPr>
                <w:rFonts w:ascii="CorpoS" w:hAnsi="CorpoS" w:cs="Arial"/>
                <w:sz w:val="22"/>
                <w:szCs w:val="22"/>
              </w:rPr>
              <w:t>96.6</w:t>
            </w:r>
          </w:p>
        </w:tc>
        <w:tc>
          <w:tcPr>
            <w:tcW w:w="1276" w:type="dxa"/>
            <w:tcBorders>
              <w:left w:val="single" w:sz="18" w:space="0" w:color="auto"/>
              <w:bottom w:val="single" w:sz="4" w:space="0" w:color="auto"/>
            </w:tcBorders>
            <w:shd w:val="clear" w:color="auto" w:fill="auto"/>
            <w:vAlign w:val="center"/>
          </w:tcPr>
          <w:p w14:paraId="152663F5" w14:textId="1D752E3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154.7</w:t>
            </w:r>
          </w:p>
        </w:tc>
        <w:tc>
          <w:tcPr>
            <w:tcW w:w="1276" w:type="dxa"/>
            <w:tcBorders>
              <w:bottom w:val="single" w:sz="4" w:space="0" w:color="auto"/>
            </w:tcBorders>
            <w:shd w:val="clear" w:color="auto" w:fill="auto"/>
            <w:vAlign w:val="center"/>
          </w:tcPr>
          <w:p w14:paraId="7CD56DFD" w14:textId="6DFC1C93" w:rsidR="00B3356B" w:rsidRPr="00397CC5" w:rsidRDefault="00B3356B" w:rsidP="0006343C">
            <w:pPr>
              <w:suppressAutoHyphens/>
              <w:ind w:firstLineChars="100" w:firstLine="220"/>
              <w:jc w:val="right"/>
              <w:rPr>
                <w:rFonts w:ascii="CorpoS" w:hAnsi="CorpoS" w:cs="Arial"/>
                <w:sz w:val="22"/>
                <w:szCs w:val="22"/>
                <w:lang w:val="en-US"/>
              </w:rPr>
            </w:pPr>
            <w:r>
              <w:rPr>
                <w:rFonts w:ascii="CorpoS" w:hAnsi="CorpoS" w:cs="Arial"/>
                <w:sz w:val="22"/>
                <w:szCs w:val="22"/>
              </w:rPr>
              <w:t>188.1</w:t>
            </w:r>
          </w:p>
        </w:tc>
        <w:tc>
          <w:tcPr>
            <w:tcW w:w="1418" w:type="dxa"/>
            <w:tcBorders>
              <w:bottom w:val="single" w:sz="4" w:space="0" w:color="auto"/>
              <w:right w:val="single" w:sz="18" w:space="0" w:color="auto"/>
            </w:tcBorders>
            <w:shd w:val="clear" w:color="auto" w:fill="auto"/>
            <w:vAlign w:val="center"/>
          </w:tcPr>
          <w:p w14:paraId="22E987C3" w14:textId="6C41739E" w:rsidR="00B3356B" w:rsidRPr="00397CC5" w:rsidRDefault="00B3356B" w:rsidP="0006343C">
            <w:pPr>
              <w:suppressAutoHyphens/>
              <w:ind w:firstLineChars="100" w:firstLine="220"/>
              <w:jc w:val="right"/>
              <w:rPr>
                <w:rFonts w:ascii="CorpoS" w:hAnsi="CorpoS" w:cs="Arial"/>
                <w:sz w:val="22"/>
                <w:szCs w:val="22"/>
                <w:lang w:val="en-US"/>
              </w:rPr>
            </w:pPr>
            <w:r>
              <w:rPr>
                <w:rFonts w:ascii="CorpoS" w:hAnsi="CorpoS" w:cs="Arial"/>
                <w:sz w:val="22"/>
                <w:szCs w:val="22"/>
              </w:rPr>
              <w:t>+ 21.6 %</w:t>
            </w:r>
          </w:p>
        </w:tc>
      </w:tr>
      <w:tr w:rsidR="00511729" w:rsidRPr="00397CC5" w14:paraId="5D197D74" w14:textId="77777777" w:rsidTr="00DE3D5A">
        <w:trPr>
          <w:trHeight w:val="81"/>
        </w:trPr>
        <w:tc>
          <w:tcPr>
            <w:tcW w:w="6237" w:type="dxa"/>
            <w:gridSpan w:val="3"/>
            <w:tcBorders>
              <w:right w:val="single" w:sz="18" w:space="0" w:color="auto"/>
            </w:tcBorders>
            <w:shd w:val="clear" w:color="auto" w:fill="auto"/>
          </w:tcPr>
          <w:p w14:paraId="3DAC6CBC" w14:textId="77777777" w:rsidR="00511729" w:rsidRPr="00397CC5" w:rsidRDefault="00511729" w:rsidP="00927315">
            <w:pPr>
              <w:suppressAutoHyphens/>
              <w:jc w:val="right"/>
              <w:rPr>
                <w:rFonts w:ascii="CorpoS" w:hAnsi="CorpoS"/>
                <w:b/>
                <w:sz w:val="8"/>
                <w:szCs w:val="8"/>
                <w:lang w:val="en-US"/>
              </w:rPr>
            </w:pPr>
          </w:p>
        </w:tc>
        <w:tc>
          <w:tcPr>
            <w:tcW w:w="3970" w:type="dxa"/>
            <w:gridSpan w:val="3"/>
            <w:tcBorders>
              <w:left w:val="single" w:sz="18" w:space="0" w:color="auto"/>
              <w:bottom w:val="single" w:sz="4" w:space="0" w:color="auto"/>
              <w:right w:val="single" w:sz="18" w:space="0" w:color="auto"/>
            </w:tcBorders>
            <w:shd w:val="clear" w:color="auto" w:fill="auto"/>
          </w:tcPr>
          <w:p w14:paraId="1AD449A2" w14:textId="77777777" w:rsidR="00511729" w:rsidRPr="00397CC5" w:rsidRDefault="00511729" w:rsidP="00927315">
            <w:pPr>
              <w:suppressAutoHyphens/>
              <w:ind w:right="33"/>
              <w:jc w:val="right"/>
              <w:rPr>
                <w:rFonts w:ascii="CorpoS" w:hAnsi="CorpoS"/>
                <w:b/>
                <w:sz w:val="8"/>
                <w:szCs w:val="8"/>
                <w:lang w:val="en-US"/>
              </w:rPr>
            </w:pPr>
          </w:p>
        </w:tc>
      </w:tr>
      <w:tr w:rsidR="00511729" w:rsidRPr="00397CC5" w14:paraId="24CAA839" w14:textId="77777777" w:rsidTr="00DE3D5A">
        <w:tc>
          <w:tcPr>
            <w:tcW w:w="3969" w:type="dxa"/>
            <w:tcBorders>
              <w:right w:val="single" w:sz="4" w:space="0" w:color="auto"/>
            </w:tcBorders>
            <w:shd w:val="clear" w:color="auto" w:fill="auto"/>
          </w:tcPr>
          <w:p w14:paraId="35EEAE6C" w14:textId="77777777" w:rsidR="00511729" w:rsidRPr="00397CC5" w:rsidRDefault="00511729" w:rsidP="00927315">
            <w:pPr>
              <w:suppressAutoHyphens/>
              <w:rPr>
                <w:rFonts w:ascii="CorpoS" w:hAnsi="CorpoS"/>
                <w:sz w:val="22"/>
                <w:szCs w:val="22"/>
                <w:lang w:val="en-US"/>
              </w:rPr>
            </w:pPr>
          </w:p>
        </w:tc>
        <w:tc>
          <w:tcPr>
            <w:tcW w:w="1134" w:type="dxa"/>
            <w:tcBorders>
              <w:left w:val="single" w:sz="4" w:space="0" w:color="auto"/>
              <w:right w:val="single" w:sz="4" w:space="0" w:color="auto"/>
            </w:tcBorders>
          </w:tcPr>
          <w:p w14:paraId="20A63290" w14:textId="77777777" w:rsidR="00511729" w:rsidRPr="00397CC5" w:rsidRDefault="00511729" w:rsidP="00927315">
            <w:pPr>
              <w:suppressAutoHyphens/>
              <w:jc w:val="right"/>
              <w:rPr>
                <w:rFonts w:ascii="CorpoS" w:hAnsi="CorpoS"/>
                <w:b/>
                <w:sz w:val="22"/>
                <w:szCs w:val="22"/>
                <w:lang w:val="en-US"/>
              </w:rPr>
            </w:pPr>
          </w:p>
        </w:tc>
        <w:tc>
          <w:tcPr>
            <w:tcW w:w="1134" w:type="dxa"/>
            <w:tcBorders>
              <w:left w:val="single" w:sz="4" w:space="0" w:color="auto"/>
              <w:right w:val="single" w:sz="18" w:space="0" w:color="auto"/>
            </w:tcBorders>
          </w:tcPr>
          <w:p w14:paraId="22EE832C" w14:textId="77777777" w:rsidR="00511729" w:rsidRPr="00397CC5" w:rsidRDefault="00511729" w:rsidP="00927315">
            <w:pPr>
              <w:suppressAutoHyphens/>
              <w:jc w:val="right"/>
              <w:rPr>
                <w:rFonts w:ascii="CorpoS" w:hAnsi="CorpoS"/>
                <w:b/>
                <w:sz w:val="22"/>
                <w:szCs w:val="22"/>
                <w:lang w:val="en-US"/>
              </w:rPr>
            </w:pPr>
          </w:p>
        </w:tc>
        <w:tc>
          <w:tcPr>
            <w:tcW w:w="1276" w:type="dxa"/>
            <w:tcBorders>
              <w:left w:val="single" w:sz="18" w:space="0" w:color="auto"/>
              <w:bottom w:val="single" w:sz="4" w:space="0" w:color="auto"/>
            </w:tcBorders>
            <w:shd w:val="clear" w:color="auto" w:fill="auto"/>
          </w:tcPr>
          <w:p w14:paraId="332B060D" w14:textId="108A8C7E" w:rsidR="00511729" w:rsidRPr="00397CC5" w:rsidRDefault="001B07F4" w:rsidP="00927315">
            <w:pPr>
              <w:suppressAutoHyphens/>
              <w:jc w:val="right"/>
              <w:rPr>
                <w:rFonts w:ascii="CorpoS" w:hAnsi="CorpoS"/>
                <w:b/>
                <w:sz w:val="22"/>
                <w:szCs w:val="22"/>
                <w:lang w:val="en-US"/>
              </w:rPr>
            </w:pPr>
            <w:r>
              <w:rPr>
                <w:rFonts w:ascii="CorpoS" w:hAnsi="CorpoS"/>
                <w:b/>
                <w:sz w:val="22"/>
                <w:szCs w:val="22"/>
                <w:lang w:val="en-US"/>
              </w:rPr>
              <w:t xml:space="preserve">Dec. </w:t>
            </w:r>
            <w:r w:rsidR="00511729" w:rsidRPr="00397CC5">
              <w:rPr>
                <w:rFonts w:ascii="CorpoS" w:hAnsi="CorpoS"/>
                <w:b/>
                <w:sz w:val="22"/>
                <w:szCs w:val="22"/>
                <w:lang w:val="en-US"/>
              </w:rPr>
              <w:t>31</w:t>
            </w:r>
            <w:r>
              <w:rPr>
                <w:rFonts w:ascii="CorpoS" w:hAnsi="CorpoS"/>
                <w:b/>
                <w:sz w:val="22"/>
                <w:szCs w:val="22"/>
                <w:lang w:val="en-US"/>
              </w:rPr>
              <w:t>,</w:t>
            </w:r>
            <w:r w:rsidR="00511729" w:rsidRPr="00397CC5">
              <w:rPr>
                <w:rFonts w:ascii="CorpoS" w:hAnsi="CorpoS"/>
                <w:b/>
                <w:sz w:val="22"/>
                <w:szCs w:val="22"/>
                <w:lang w:val="en-US"/>
              </w:rPr>
              <w:t xml:space="preserve"> </w:t>
            </w:r>
            <w:r w:rsidR="007575AF" w:rsidRPr="00397CC5">
              <w:rPr>
                <w:rFonts w:ascii="CorpoS" w:hAnsi="CorpoS"/>
                <w:b/>
                <w:sz w:val="22"/>
                <w:szCs w:val="22"/>
                <w:lang w:val="en-US"/>
              </w:rPr>
              <w:t>20</w:t>
            </w:r>
            <w:r w:rsidR="00511729" w:rsidRPr="00397CC5">
              <w:rPr>
                <w:rFonts w:ascii="CorpoS" w:hAnsi="CorpoS"/>
                <w:b/>
                <w:sz w:val="22"/>
                <w:szCs w:val="22"/>
                <w:lang w:val="en-US"/>
              </w:rPr>
              <w:t>1</w:t>
            </w:r>
            <w:r w:rsidR="009E3877">
              <w:rPr>
                <w:rFonts w:ascii="CorpoS" w:hAnsi="CorpoS"/>
                <w:b/>
                <w:sz w:val="22"/>
                <w:szCs w:val="22"/>
                <w:lang w:val="en-US"/>
              </w:rPr>
              <w:t>6</w:t>
            </w:r>
          </w:p>
        </w:tc>
        <w:tc>
          <w:tcPr>
            <w:tcW w:w="1276" w:type="dxa"/>
            <w:tcBorders>
              <w:bottom w:val="single" w:sz="4" w:space="0" w:color="auto"/>
            </w:tcBorders>
            <w:shd w:val="clear" w:color="auto" w:fill="auto"/>
          </w:tcPr>
          <w:p w14:paraId="1493FD1D" w14:textId="6377ABE4" w:rsidR="00511729" w:rsidRPr="00397CC5" w:rsidRDefault="001B07F4" w:rsidP="00927315">
            <w:pPr>
              <w:suppressAutoHyphens/>
              <w:jc w:val="right"/>
              <w:rPr>
                <w:rFonts w:ascii="CorpoS" w:hAnsi="CorpoS"/>
                <w:b/>
                <w:sz w:val="22"/>
                <w:szCs w:val="22"/>
                <w:lang w:val="en-US"/>
              </w:rPr>
            </w:pPr>
            <w:r>
              <w:rPr>
                <w:rFonts w:ascii="CorpoS" w:hAnsi="CorpoS"/>
                <w:b/>
                <w:sz w:val="22"/>
                <w:szCs w:val="22"/>
                <w:lang w:val="en-US"/>
              </w:rPr>
              <w:t xml:space="preserve">Dec. </w:t>
            </w:r>
            <w:r w:rsidR="00511729" w:rsidRPr="00397CC5">
              <w:rPr>
                <w:rFonts w:ascii="CorpoS" w:hAnsi="CorpoS"/>
                <w:b/>
                <w:sz w:val="22"/>
                <w:szCs w:val="22"/>
                <w:lang w:val="en-US"/>
              </w:rPr>
              <w:t>3</w:t>
            </w:r>
            <w:r w:rsidR="00E7506C" w:rsidRPr="00397CC5">
              <w:rPr>
                <w:rFonts w:ascii="CorpoS" w:hAnsi="CorpoS"/>
                <w:b/>
                <w:sz w:val="22"/>
                <w:szCs w:val="22"/>
                <w:lang w:val="en-US"/>
              </w:rPr>
              <w:t>1</w:t>
            </w:r>
            <w:r>
              <w:rPr>
                <w:rFonts w:ascii="CorpoS" w:hAnsi="CorpoS"/>
                <w:b/>
                <w:sz w:val="22"/>
                <w:szCs w:val="22"/>
                <w:lang w:val="en-US"/>
              </w:rPr>
              <w:t>,</w:t>
            </w:r>
            <w:r w:rsidR="00511729" w:rsidRPr="00397CC5">
              <w:rPr>
                <w:rFonts w:ascii="CorpoS" w:hAnsi="CorpoS"/>
                <w:b/>
                <w:sz w:val="22"/>
                <w:szCs w:val="22"/>
                <w:lang w:val="en-US"/>
              </w:rPr>
              <w:t xml:space="preserve"> </w:t>
            </w:r>
            <w:r w:rsidR="007575AF" w:rsidRPr="00397CC5">
              <w:rPr>
                <w:rFonts w:ascii="CorpoS" w:hAnsi="CorpoS"/>
                <w:b/>
                <w:sz w:val="22"/>
                <w:szCs w:val="22"/>
                <w:lang w:val="en-US"/>
              </w:rPr>
              <w:t>20</w:t>
            </w:r>
            <w:r w:rsidR="00511729" w:rsidRPr="00397CC5">
              <w:rPr>
                <w:rFonts w:ascii="CorpoS" w:hAnsi="CorpoS"/>
                <w:b/>
                <w:sz w:val="22"/>
                <w:szCs w:val="22"/>
                <w:lang w:val="en-US"/>
              </w:rPr>
              <w:t>1</w:t>
            </w:r>
            <w:r w:rsidR="009E3877">
              <w:rPr>
                <w:rFonts w:ascii="CorpoS" w:hAnsi="CorpoS"/>
                <w:b/>
                <w:sz w:val="22"/>
                <w:szCs w:val="22"/>
                <w:lang w:val="en-US"/>
              </w:rPr>
              <w:t>7</w:t>
            </w:r>
          </w:p>
        </w:tc>
        <w:tc>
          <w:tcPr>
            <w:tcW w:w="1418" w:type="dxa"/>
            <w:tcBorders>
              <w:bottom w:val="single" w:sz="4" w:space="0" w:color="auto"/>
              <w:right w:val="single" w:sz="18" w:space="0" w:color="auto"/>
            </w:tcBorders>
            <w:shd w:val="clear" w:color="auto" w:fill="auto"/>
          </w:tcPr>
          <w:p w14:paraId="0C61F397" w14:textId="78725B57" w:rsidR="00511729" w:rsidRPr="00397CC5" w:rsidRDefault="001B07F4" w:rsidP="00927315">
            <w:pPr>
              <w:suppressAutoHyphens/>
              <w:ind w:right="33"/>
              <w:rPr>
                <w:rFonts w:ascii="CorpoS" w:hAnsi="CorpoS"/>
                <w:b/>
                <w:sz w:val="22"/>
                <w:szCs w:val="22"/>
                <w:lang w:val="en-US"/>
              </w:rPr>
            </w:pPr>
            <w:r>
              <w:rPr>
                <w:rFonts w:ascii="CorpoS" w:hAnsi="CorpoS"/>
                <w:b/>
                <w:sz w:val="22"/>
                <w:szCs w:val="22"/>
                <w:lang w:val="en-US"/>
              </w:rPr>
              <w:t>Change</w:t>
            </w:r>
          </w:p>
        </w:tc>
      </w:tr>
      <w:tr w:rsidR="001B1A3B" w:rsidRPr="00397CC5" w14:paraId="1A865528" w14:textId="77777777" w:rsidTr="00DE3D5A">
        <w:tc>
          <w:tcPr>
            <w:tcW w:w="3969" w:type="dxa"/>
            <w:tcBorders>
              <w:right w:val="single" w:sz="4" w:space="0" w:color="auto"/>
            </w:tcBorders>
            <w:shd w:val="clear" w:color="auto" w:fill="auto"/>
          </w:tcPr>
          <w:p w14:paraId="0DA4474F" w14:textId="4AD4F783" w:rsidR="001B1A3B" w:rsidRPr="00397CC5" w:rsidRDefault="001B1A3B" w:rsidP="00927315">
            <w:pPr>
              <w:suppressAutoHyphens/>
              <w:rPr>
                <w:rFonts w:ascii="CorpoS" w:hAnsi="CorpoS"/>
                <w:b/>
                <w:sz w:val="22"/>
                <w:szCs w:val="22"/>
                <w:lang w:val="en-US"/>
              </w:rPr>
            </w:pPr>
            <w:r>
              <w:rPr>
                <w:rFonts w:ascii="CorpoS" w:hAnsi="CorpoS"/>
                <w:b/>
                <w:sz w:val="22"/>
                <w:szCs w:val="22"/>
                <w:lang w:val="en-US"/>
              </w:rPr>
              <w:t>Balance sheet key figures</w:t>
            </w:r>
          </w:p>
        </w:tc>
        <w:tc>
          <w:tcPr>
            <w:tcW w:w="1134" w:type="dxa"/>
            <w:tcBorders>
              <w:left w:val="single" w:sz="4" w:space="0" w:color="auto"/>
              <w:right w:val="single" w:sz="4" w:space="0" w:color="auto"/>
            </w:tcBorders>
          </w:tcPr>
          <w:p w14:paraId="725068CE" w14:textId="77777777" w:rsidR="001B1A3B" w:rsidRPr="00397CC5" w:rsidRDefault="001B1A3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11D18F24" w14:textId="77777777" w:rsidR="001B1A3B" w:rsidRPr="00397CC5" w:rsidRDefault="001B1A3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tcPr>
          <w:p w14:paraId="2F6D0590" w14:textId="77777777" w:rsidR="001B1A3B" w:rsidRPr="00397CC5" w:rsidRDefault="001B1A3B" w:rsidP="00927315">
            <w:pPr>
              <w:suppressAutoHyphens/>
              <w:jc w:val="right"/>
              <w:rPr>
                <w:rFonts w:ascii="CorpoS" w:hAnsi="CorpoS"/>
                <w:color w:val="FF0000"/>
                <w:sz w:val="22"/>
                <w:szCs w:val="22"/>
                <w:lang w:val="en-US"/>
              </w:rPr>
            </w:pPr>
          </w:p>
        </w:tc>
        <w:tc>
          <w:tcPr>
            <w:tcW w:w="1276" w:type="dxa"/>
            <w:tcBorders>
              <w:top w:val="single" w:sz="4" w:space="0" w:color="auto"/>
              <w:bottom w:val="single" w:sz="4" w:space="0" w:color="auto"/>
            </w:tcBorders>
            <w:shd w:val="clear" w:color="auto" w:fill="auto"/>
          </w:tcPr>
          <w:p w14:paraId="047B229C" w14:textId="77777777" w:rsidR="001B1A3B" w:rsidRPr="00397CC5" w:rsidRDefault="001B1A3B" w:rsidP="00927315">
            <w:pPr>
              <w:suppressAutoHyphens/>
              <w:jc w:val="right"/>
              <w:rPr>
                <w:rFonts w:ascii="CorpoS" w:hAnsi="CorpoS"/>
                <w:color w:val="FF0000"/>
                <w:sz w:val="22"/>
                <w:szCs w:val="22"/>
                <w:lang w:val="en-US"/>
              </w:rPr>
            </w:pPr>
          </w:p>
        </w:tc>
        <w:tc>
          <w:tcPr>
            <w:tcW w:w="1418" w:type="dxa"/>
            <w:tcBorders>
              <w:top w:val="single" w:sz="4" w:space="0" w:color="auto"/>
              <w:bottom w:val="single" w:sz="4" w:space="0" w:color="auto"/>
              <w:right w:val="single" w:sz="18" w:space="0" w:color="auto"/>
            </w:tcBorders>
            <w:shd w:val="clear" w:color="auto" w:fill="auto"/>
          </w:tcPr>
          <w:p w14:paraId="02EB5E1E" w14:textId="77777777" w:rsidR="001B1A3B" w:rsidRPr="00397CC5" w:rsidRDefault="001B1A3B" w:rsidP="00927315">
            <w:pPr>
              <w:suppressAutoHyphens/>
              <w:ind w:right="33"/>
              <w:jc w:val="right"/>
              <w:rPr>
                <w:rFonts w:ascii="CorpoS" w:hAnsi="CorpoS"/>
                <w:color w:val="FF0000"/>
                <w:sz w:val="22"/>
                <w:szCs w:val="22"/>
                <w:lang w:val="en-US"/>
              </w:rPr>
            </w:pPr>
          </w:p>
        </w:tc>
      </w:tr>
      <w:tr w:rsidR="00B3356B" w:rsidRPr="00397CC5" w14:paraId="433B3DDD" w14:textId="77777777" w:rsidTr="00DE3D5A">
        <w:tc>
          <w:tcPr>
            <w:tcW w:w="3969" w:type="dxa"/>
            <w:tcBorders>
              <w:right w:val="single" w:sz="4" w:space="0" w:color="auto"/>
            </w:tcBorders>
            <w:shd w:val="clear" w:color="auto" w:fill="auto"/>
          </w:tcPr>
          <w:p w14:paraId="2E7D921D" w14:textId="0B8399BC" w:rsidR="00B3356B" w:rsidRPr="00397CC5" w:rsidRDefault="00B3356B" w:rsidP="00927315">
            <w:pPr>
              <w:suppressAutoHyphens/>
              <w:ind w:firstLine="176"/>
              <w:rPr>
                <w:rFonts w:ascii="CorpoS" w:hAnsi="CorpoS"/>
                <w:sz w:val="22"/>
                <w:szCs w:val="22"/>
                <w:lang w:val="en-US"/>
              </w:rPr>
            </w:pPr>
            <w:r w:rsidRPr="0009657C">
              <w:rPr>
                <w:rFonts w:ascii="CorpoS" w:hAnsi="CorpoS"/>
                <w:sz w:val="22"/>
                <w:szCs w:val="22"/>
                <w:lang w:val="en-US"/>
              </w:rPr>
              <w:t>I</w:t>
            </w:r>
            <w:r>
              <w:rPr>
                <w:rFonts w:ascii="CorpoS" w:hAnsi="CorpoS"/>
                <w:sz w:val="22"/>
                <w:szCs w:val="22"/>
                <w:lang w:val="en-US"/>
              </w:rPr>
              <w:t>ntangible assets</w:t>
            </w:r>
          </w:p>
        </w:tc>
        <w:tc>
          <w:tcPr>
            <w:tcW w:w="1134" w:type="dxa"/>
            <w:tcBorders>
              <w:left w:val="single" w:sz="4" w:space="0" w:color="auto"/>
              <w:right w:val="single" w:sz="4" w:space="0" w:color="auto"/>
            </w:tcBorders>
          </w:tcPr>
          <w:p w14:paraId="225B1DF5" w14:textId="77777777" w:rsidR="00B3356B" w:rsidRPr="00397CC5" w:rsidRDefault="00B3356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1C98F50E" w14:textId="77777777" w:rsidR="00B3356B" w:rsidRPr="00397CC5" w:rsidRDefault="00B3356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2FDE4A4" w14:textId="6EF16B6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2,234.2</w:t>
            </w:r>
          </w:p>
        </w:tc>
        <w:tc>
          <w:tcPr>
            <w:tcW w:w="1276" w:type="dxa"/>
            <w:tcBorders>
              <w:top w:val="single" w:sz="4" w:space="0" w:color="auto"/>
              <w:bottom w:val="single" w:sz="4" w:space="0" w:color="auto"/>
            </w:tcBorders>
            <w:shd w:val="clear" w:color="auto" w:fill="auto"/>
            <w:vAlign w:val="center"/>
          </w:tcPr>
          <w:p w14:paraId="51393727" w14:textId="57B3103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2,290.1</w:t>
            </w:r>
          </w:p>
        </w:tc>
        <w:tc>
          <w:tcPr>
            <w:tcW w:w="1418" w:type="dxa"/>
            <w:tcBorders>
              <w:top w:val="single" w:sz="4" w:space="0" w:color="auto"/>
              <w:bottom w:val="single" w:sz="4" w:space="0" w:color="auto"/>
              <w:right w:val="single" w:sz="18" w:space="0" w:color="auto"/>
            </w:tcBorders>
            <w:shd w:val="clear" w:color="auto" w:fill="auto"/>
            <w:vAlign w:val="center"/>
          </w:tcPr>
          <w:p w14:paraId="1B05A943" w14:textId="25FD60F9"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+ 2.5 %</w:t>
            </w:r>
          </w:p>
        </w:tc>
      </w:tr>
      <w:tr w:rsidR="00B3356B" w:rsidRPr="00397CC5" w14:paraId="582377CB" w14:textId="77777777" w:rsidTr="00DE3D5A">
        <w:tc>
          <w:tcPr>
            <w:tcW w:w="3969" w:type="dxa"/>
            <w:tcBorders>
              <w:right w:val="single" w:sz="4" w:space="0" w:color="auto"/>
            </w:tcBorders>
            <w:shd w:val="clear" w:color="auto" w:fill="auto"/>
          </w:tcPr>
          <w:p w14:paraId="52C12EE9" w14:textId="61A815A5" w:rsidR="00B3356B" w:rsidRPr="00397CC5" w:rsidRDefault="00B3356B" w:rsidP="00927315">
            <w:pPr>
              <w:suppressAutoHyphens/>
              <w:ind w:left="176"/>
              <w:rPr>
                <w:rFonts w:ascii="CorpoS" w:hAnsi="CorpoS"/>
                <w:sz w:val="22"/>
                <w:szCs w:val="22"/>
                <w:lang w:val="en-US"/>
              </w:rPr>
            </w:pPr>
            <w:r>
              <w:rPr>
                <w:rFonts w:ascii="CorpoS" w:hAnsi="CorpoS"/>
                <w:sz w:val="22"/>
                <w:szCs w:val="22"/>
                <w:lang w:val="en-US"/>
              </w:rPr>
              <w:t>Cash and cash equivalents</w:t>
            </w:r>
          </w:p>
        </w:tc>
        <w:tc>
          <w:tcPr>
            <w:tcW w:w="1134" w:type="dxa"/>
            <w:tcBorders>
              <w:left w:val="single" w:sz="4" w:space="0" w:color="auto"/>
              <w:right w:val="single" w:sz="4" w:space="0" w:color="auto"/>
            </w:tcBorders>
          </w:tcPr>
          <w:p w14:paraId="58318280" w14:textId="77777777" w:rsidR="00B3356B" w:rsidRPr="00397CC5" w:rsidRDefault="00B3356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7E684AE1" w14:textId="77777777" w:rsidR="00B3356B" w:rsidRPr="00397CC5" w:rsidRDefault="00B3356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20D868A" w14:textId="6FF4888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322.4</w:t>
            </w:r>
          </w:p>
        </w:tc>
        <w:tc>
          <w:tcPr>
            <w:tcW w:w="1276" w:type="dxa"/>
            <w:tcBorders>
              <w:top w:val="single" w:sz="4" w:space="0" w:color="auto"/>
              <w:bottom w:val="single" w:sz="4" w:space="0" w:color="auto"/>
            </w:tcBorders>
            <w:shd w:val="clear" w:color="auto" w:fill="auto"/>
            <w:vAlign w:val="center"/>
          </w:tcPr>
          <w:p w14:paraId="5BEF05B7" w14:textId="5C9F3DD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106.1</w:t>
            </w:r>
          </w:p>
        </w:tc>
        <w:tc>
          <w:tcPr>
            <w:tcW w:w="1418" w:type="dxa"/>
            <w:tcBorders>
              <w:top w:val="single" w:sz="4" w:space="0" w:color="auto"/>
              <w:bottom w:val="single" w:sz="4" w:space="0" w:color="auto"/>
              <w:right w:val="single" w:sz="18" w:space="0" w:color="auto"/>
            </w:tcBorders>
            <w:shd w:val="clear" w:color="auto" w:fill="auto"/>
            <w:vAlign w:val="center"/>
          </w:tcPr>
          <w:p w14:paraId="7BBB366A" w14:textId="047DEB94"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- 67.1 %</w:t>
            </w:r>
          </w:p>
        </w:tc>
      </w:tr>
      <w:tr w:rsidR="00B3356B" w:rsidRPr="00397CC5" w14:paraId="2648847D" w14:textId="77777777" w:rsidTr="00DE3D5A">
        <w:tc>
          <w:tcPr>
            <w:tcW w:w="3969" w:type="dxa"/>
            <w:tcBorders>
              <w:right w:val="single" w:sz="4" w:space="0" w:color="auto"/>
            </w:tcBorders>
            <w:shd w:val="clear" w:color="auto" w:fill="auto"/>
          </w:tcPr>
          <w:p w14:paraId="63B7872D" w14:textId="7EC8A409" w:rsidR="00B3356B" w:rsidRPr="00397CC5" w:rsidRDefault="00B3356B" w:rsidP="00927315">
            <w:pPr>
              <w:suppressAutoHyphens/>
              <w:ind w:left="176"/>
              <w:rPr>
                <w:rFonts w:ascii="CorpoS" w:hAnsi="CorpoS"/>
                <w:sz w:val="22"/>
                <w:szCs w:val="22"/>
                <w:lang w:val="en-US"/>
              </w:rPr>
            </w:pPr>
            <w:r>
              <w:rPr>
                <w:rFonts w:ascii="CorpoS" w:hAnsi="CorpoS"/>
                <w:sz w:val="22"/>
                <w:szCs w:val="22"/>
                <w:lang w:val="en-US"/>
              </w:rPr>
              <w:t>Pension provisions</w:t>
            </w:r>
          </w:p>
        </w:tc>
        <w:tc>
          <w:tcPr>
            <w:tcW w:w="1134" w:type="dxa"/>
            <w:tcBorders>
              <w:left w:val="single" w:sz="4" w:space="0" w:color="auto"/>
              <w:right w:val="single" w:sz="4" w:space="0" w:color="auto"/>
            </w:tcBorders>
          </w:tcPr>
          <w:p w14:paraId="12C9C0C9" w14:textId="77777777" w:rsidR="00B3356B" w:rsidRPr="00397CC5" w:rsidRDefault="00B3356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60F5A706" w14:textId="77777777" w:rsidR="00B3356B" w:rsidRPr="00397CC5" w:rsidRDefault="00B3356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4B15805F" w14:textId="1679ADDA"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883.3</w:t>
            </w:r>
          </w:p>
        </w:tc>
        <w:tc>
          <w:tcPr>
            <w:tcW w:w="1276" w:type="dxa"/>
            <w:tcBorders>
              <w:top w:val="single" w:sz="4" w:space="0" w:color="auto"/>
              <w:bottom w:val="single" w:sz="4" w:space="0" w:color="auto"/>
            </w:tcBorders>
            <w:shd w:val="clear" w:color="auto" w:fill="auto"/>
            <w:vAlign w:val="center"/>
          </w:tcPr>
          <w:p w14:paraId="12EAABA2" w14:textId="46F98F1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870.7</w:t>
            </w:r>
          </w:p>
        </w:tc>
        <w:tc>
          <w:tcPr>
            <w:tcW w:w="1418" w:type="dxa"/>
            <w:tcBorders>
              <w:top w:val="single" w:sz="4" w:space="0" w:color="auto"/>
              <w:bottom w:val="single" w:sz="4" w:space="0" w:color="auto"/>
              <w:right w:val="single" w:sz="18" w:space="0" w:color="auto"/>
            </w:tcBorders>
            <w:shd w:val="clear" w:color="auto" w:fill="auto"/>
            <w:vAlign w:val="center"/>
          </w:tcPr>
          <w:p w14:paraId="4FC727A3" w14:textId="6DC34C4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- 1.4 %</w:t>
            </w:r>
          </w:p>
        </w:tc>
      </w:tr>
      <w:tr w:rsidR="00B3356B" w:rsidRPr="00397CC5" w14:paraId="3F2405A3" w14:textId="77777777" w:rsidTr="00DE3D5A">
        <w:tc>
          <w:tcPr>
            <w:tcW w:w="3969" w:type="dxa"/>
            <w:tcBorders>
              <w:right w:val="single" w:sz="4" w:space="0" w:color="auto"/>
            </w:tcBorders>
            <w:shd w:val="clear" w:color="auto" w:fill="auto"/>
          </w:tcPr>
          <w:p w14:paraId="470F74F2" w14:textId="185BF5D0" w:rsidR="00B3356B" w:rsidRPr="00397CC5" w:rsidRDefault="00B3356B" w:rsidP="00927315">
            <w:pPr>
              <w:suppressAutoHyphens/>
              <w:ind w:left="176"/>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quity</w:t>
            </w:r>
          </w:p>
        </w:tc>
        <w:tc>
          <w:tcPr>
            <w:tcW w:w="1134" w:type="dxa"/>
            <w:tcBorders>
              <w:left w:val="single" w:sz="4" w:space="0" w:color="auto"/>
              <w:right w:val="single" w:sz="4" w:space="0" w:color="auto"/>
            </w:tcBorders>
          </w:tcPr>
          <w:p w14:paraId="370630F8" w14:textId="77777777" w:rsidR="00B3356B" w:rsidRPr="00397CC5" w:rsidRDefault="00B3356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039177C2" w14:textId="77777777" w:rsidR="00B3356B" w:rsidRPr="00397CC5" w:rsidRDefault="00B3356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7EAC02E6" w14:textId="33B29A15"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1,500.5</w:t>
            </w:r>
          </w:p>
        </w:tc>
        <w:tc>
          <w:tcPr>
            <w:tcW w:w="1276" w:type="dxa"/>
            <w:tcBorders>
              <w:top w:val="single" w:sz="4" w:space="0" w:color="auto"/>
              <w:bottom w:val="single" w:sz="4" w:space="0" w:color="auto"/>
            </w:tcBorders>
            <w:shd w:val="clear" w:color="auto" w:fill="auto"/>
            <w:vAlign w:val="center"/>
          </w:tcPr>
          <w:p w14:paraId="27F81EF4" w14:textId="28060228"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1,989.8</w:t>
            </w:r>
          </w:p>
        </w:tc>
        <w:tc>
          <w:tcPr>
            <w:tcW w:w="1418" w:type="dxa"/>
            <w:tcBorders>
              <w:top w:val="single" w:sz="4" w:space="0" w:color="auto"/>
              <w:bottom w:val="single" w:sz="4" w:space="0" w:color="auto"/>
              <w:right w:val="single" w:sz="18" w:space="0" w:color="auto"/>
            </w:tcBorders>
            <w:shd w:val="clear" w:color="auto" w:fill="auto"/>
            <w:vAlign w:val="center"/>
          </w:tcPr>
          <w:p w14:paraId="74C8319B" w14:textId="7853275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+ 32.6 %</w:t>
            </w:r>
          </w:p>
        </w:tc>
      </w:tr>
      <w:tr w:rsidR="00B3356B" w:rsidRPr="00397CC5" w14:paraId="0457D563" w14:textId="77777777" w:rsidTr="00DE3D5A">
        <w:tc>
          <w:tcPr>
            <w:tcW w:w="3969" w:type="dxa"/>
            <w:tcBorders>
              <w:right w:val="single" w:sz="4" w:space="0" w:color="auto"/>
            </w:tcBorders>
            <w:shd w:val="clear" w:color="auto" w:fill="auto"/>
          </w:tcPr>
          <w:p w14:paraId="63F921A5" w14:textId="4FB90870" w:rsidR="00B3356B" w:rsidRPr="00397CC5" w:rsidRDefault="00B3356B" w:rsidP="00927315">
            <w:pPr>
              <w:suppressAutoHyphens/>
              <w:ind w:left="176"/>
              <w:rPr>
                <w:rFonts w:ascii="CorpoS" w:hAnsi="CorpoS"/>
                <w:sz w:val="22"/>
                <w:szCs w:val="22"/>
                <w:lang w:val="en-US"/>
              </w:rPr>
            </w:pPr>
            <w:r w:rsidRPr="0009657C">
              <w:rPr>
                <w:rFonts w:ascii="CorpoS" w:hAnsi="CorpoS"/>
                <w:sz w:val="22"/>
                <w:szCs w:val="22"/>
                <w:lang w:val="en-US"/>
              </w:rPr>
              <w:t>Net</w:t>
            </w:r>
            <w:r>
              <w:rPr>
                <w:rFonts w:ascii="CorpoS" w:hAnsi="CorpoS"/>
                <w:sz w:val="22"/>
                <w:szCs w:val="22"/>
                <w:lang w:val="en-US"/>
              </w:rPr>
              <w:t xml:space="preserve"> financial debt</w:t>
            </w:r>
          </w:p>
        </w:tc>
        <w:tc>
          <w:tcPr>
            <w:tcW w:w="1134" w:type="dxa"/>
            <w:tcBorders>
              <w:left w:val="single" w:sz="4" w:space="0" w:color="auto"/>
              <w:right w:val="single" w:sz="4" w:space="0" w:color="auto"/>
            </w:tcBorders>
          </w:tcPr>
          <w:p w14:paraId="678C9234" w14:textId="77777777" w:rsidR="00B3356B" w:rsidRPr="00397CC5" w:rsidRDefault="00B3356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16D1B7E0" w14:textId="77777777" w:rsidR="00B3356B" w:rsidRPr="00397CC5" w:rsidRDefault="00B3356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687BDD5" w14:textId="318AAFC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892.0</w:t>
            </w:r>
          </w:p>
        </w:tc>
        <w:tc>
          <w:tcPr>
            <w:tcW w:w="1276" w:type="dxa"/>
            <w:tcBorders>
              <w:top w:val="single" w:sz="4" w:space="0" w:color="auto"/>
              <w:bottom w:val="single" w:sz="4" w:space="0" w:color="auto"/>
            </w:tcBorders>
            <w:shd w:val="clear" w:color="auto" w:fill="auto"/>
            <w:vAlign w:val="center"/>
          </w:tcPr>
          <w:p w14:paraId="208A435C" w14:textId="529CCFF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827.0</w:t>
            </w:r>
          </w:p>
        </w:tc>
        <w:tc>
          <w:tcPr>
            <w:tcW w:w="1418" w:type="dxa"/>
            <w:tcBorders>
              <w:top w:val="single" w:sz="4" w:space="0" w:color="auto"/>
              <w:bottom w:val="single" w:sz="4" w:space="0" w:color="auto"/>
              <w:right w:val="single" w:sz="18" w:space="0" w:color="auto"/>
            </w:tcBorders>
            <w:shd w:val="clear" w:color="auto" w:fill="auto"/>
            <w:vAlign w:val="center"/>
          </w:tcPr>
          <w:p w14:paraId="7346F5FD" w14:textId="291A5C0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- 7.3 %</w:t>
            </w:r>
          </w:p>
        </w:tc>
      </w:tr>
      <w:tr w:rsidR="00B3356B" w:rsidRPr="00397CC5" w14:paraId="5A141A05" w14:textId="77777777" w:rsidTr="00DE3D5A">
        <w:tc>
          <w:tcPr>
            <w:tcW w:w="3969" w:type="dxa"/>
            <w:tcBorders>
              <w:right w:val="single" w:sz="4" w:space="0" w:color="auto"/>
            </w:tcBorders>
            <w:shd w:val="clear" w:color="auto" w:fill="auto"/>
          </w:tcPr>
          <w:p w14:paraId="38A1EECA" w14:textId="065F6BE0" w:rsidR="00B3356B" w:rsidRPr="00397CC5" w:rsidRDefault="00B3356B" w:rsidP="00927315">
            <w:pPr>
              <w:suppressAutoHyphens/>
              <w:ind w:left="176"/>
              <w:rPr>
                <w:rFonts w:ascii="CorpoS" w:hAnsi="CorpoS"/>
                <w:sz w:val="22"/>
                <w:szCs w:val="22"/>
                <w:lang w:val="en-US"/>
              </w:rPr>
            </w:pPr>
            <w:r>
              <w:rPr>
                <w:rFonts w:ascii="CorpoS" w:hAnsi="CorpoS"/>
                <w:sz w:val="22"/>
                <w:szCs w:val="22"/>
                <w:lang w:val="en-US"/>
              </w:rPr>
              <w:t>Total assets and liabilities</w:t>
            </w:r>
          </w:p>
        </w:tc>
        <w:tc>
          <w:tcPr>
            <w:tcW w:w="1134" w:type="dxa"/>
            <w:tcBorders>
              <w:left w:val="single" w:sz="4" w:space="0" w:color="auto"/>
              <w:right w:val="single" w:sz="4" w:space="0" w:color="auto"/>
            </w:tcBorders>
          </w:tcPr>
          <w:p w14:paraId="37527B39" w14:textId="77777777" w:rsidR="00B3356B" w:rsidRPr="00397CC5" w:rsidRDefault="00B3356B" w:rsidP="00927315">
            <w:pPr>
              <w:suppressAutoHyphens/>
              <w:jc w:val="right"/>
              <w:rPr>
                <w:rFonts w:ascii="CorpoS" w:hAnsi="CorpoS"/>
                <w:color w:val="FF0000"/>
                <w:sz w:val="22"/>
                <w:szCs w:val="22"/>
                <w:lang w:val="en-US"/>
              </w:rPr>
            </w:pPr>
          </w:p>
        </w:tc>
        <w:tc>
          <w:tcPr>
            <w:tcW w:w="1134" w:type="dxa"/>
            <w:tcBorders>
              <w:left w:val="single" w:sz="4" w:space="0" w:color="auto"/>
              <w:right w:val="single" w:sz="18" w:space="0" w:color="auto"/>
            </w:tcBorders>
          </w:tcPr>
          <w:p w14:paraId="724E0A41" w14:textId="77777777" w:rsidR="00B3356B" w:rsidRPr="00397CC5" w:rsidRDefault="00B3356B" w:rsidP="00927315">
            <w:pPr>
              <w:suppressAutoHyphens/>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6EC4392" w14:textId="34B78158"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5,844.6</w:t>
            </w:r>
          </w:p>
        </w:tc>
        <w:tc>
          <w:tcPr>
            <w:tcW w:w="1276" w:type="dxa"/>
            <w:tcBorders>
              <w:top w:val="single" w:sz="4" w:space="0" w:color="auto"/>
              <w:bottom w:val="single" w:sz="4" w:space="0" w:color="auto"/>
            </w:tcBorders>
            <w:shd w:val="clear" w:color="auto" w:fill="auto"/>
            <w:vAlign w:val="center"/>
          </w:tcPr>
          <w:p w14:paraId="20E8F781" w14:textId="6A51B285"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6,049.5</w:t>
            </w:r>
          </w:p>
        </w:tc>
        <w:tc>
          <w:tcPr>
            <w:tcW w:w="1418" w:type="dxa"/>
            <w:tcBorders>
              <w:top w:val="single" w:sz="4" w:space="0" w:color="auto"/>
              <w:bottom w:val="single" w:sz="4" w:space="0" w:color="auto"/>
              <w:right w:val="single" w:sz="18" w:space="0" w:color="auto"/>
            </w:tcBorders>
            <w:shd w:val="clear" w:color="auto" w:fill="auto"/>
            <w:vAlign w:val="center"/>
          </w:tcPr>
          <w:p w14:paraId="246BE3EF" w14:textId="73493D66"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+ 3.5 %</w:t>
            </w:r>
          </w:p>
        </w:tc>
      </w:tr>
      <w:tr w:rsidR="00E7506C" w:rsidRPr="00397CC5" w14:paraId="2154209A" w14:textId="77777777" w:rsidTr="00DE3D5A">
        <w:trPr>
          <w:trHeight w:val="50"/>
        </w:trPr>
        <w:tc>
          <w:tcPr>
            <w:tcW w:w="3969" w:type="dxa"/>
            <w:tcBorders>
              <w:right w:val="single" w:sz="4" w:space="0" w:color="auto"/>
            </w:tcBorders>
            <w:shd w:val="clear" w:color="auto" w:fill="auto"/>
          </w:tcPr>
          <w:p w14:paraId="5037159F" w14:textId="77777777" w:rsidR="00E7506C" w:rsidRPr="00397CC5" w:rsidRDefault="00E7506C" w:rsidP="00927315">
            <w:pPr>
              <w:suppressAutoHyphens/>
              <w:rPr>
                <w:rFonts w:ascii="CorpoS" w:hAnsi="CorpoS"/>
                <w:sz w:val="8"/>
                <w:szCs w:val="8"/>
                <w:lang w:val="en-US"/>
              </w:rPr>
            </w:pPr>
          </w:p>
        </w:tc>
        <w:tc>
          <w:tcPr>
            <w:tcW w:w="1134" w:type="dxa"/>
            <w:tcBorders>
              <w:left w:val="single" w:sz="4" w:space="0" w:color="auto"/>
              <w:right w:val="single" w:sz="4" w:space="0" w:color="auto"/>
            </w:tcBorders>
          </w:tcPr>
          <w:p w14:paraId="6C454C80" w14:textId="77777777" w:rsidR="00E7506C" w:rsidRPr="00397CC5" w:rsidRDefault="00E7506C" w:rsidP="00927315">
            <w:pPr>
              <w:suppressAutoHyphens/>
              <w:jc w:val="right"/>
              <w:rPr>
                <w:rFonts w:ascii="CorpoS" w:hAnsi="CorpoS"/>
                <w:sz w:val="8"/>
                <w:szCs w:val="8"/>
                <w:lang w:val="en-US"/>
              </w:rPr>
            </w:pPr>
          </w:p>
        </w:tc>
        <w:tc>
          <w:tcPr>
            <w:tcW w:w="1134" w:type="dxa"/>
            <w:tcBorders>
              <w:left w:val="single" w:sz="4" w:space="0" w:color="auto"/>
              <w:right w:val="single" w:sz="18" w:space="0" w:color="auto"/>
            </w:tcBorders>
          </w:tcPr>
          <w:p w14:paraId="3994BF3D" w14:textId="77777777" w:rsidR="00E7506C" w:rsidRPr="00397CC5" w:rsidRDefault="00E7506C" w:rsidP="00927315">
            <w:pPr>
              <w:suppressAutoHyphens/>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A796100"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276" w:type="dxa"/>
            <w:tcBorders>
              <w:top w:val="single" w:sz="4" w:space="0" w:color="auto"/>
              <w:bottom w:val="single" w:sz="4" w:space="0" w:color="auto"/>
            </w:tcBorders>
            <w:shd w:val="clear" w:color="auto" w:fill="auto"/>
            <w:vAlign w:val="center"/>
          </w:tcPr>
          <w:p w14:paraId="3D8B0EAC"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418" w:type="dxa"/>
            <w:tcBorders>
              <w:top w:val="single" w:sz="4" w:space="0" w:color="auto"/>
              <w:bottom w:val="single" w:sz="4" w:space="0" w:color="auto"/>
              <w:right w:val="single" w:sz="18" w:space="0" w:color="auto"/>
            </w:tcBorders>
            <w:shd w:val="clear" w:color="auto" w:fill="auto"/>
            <w:vAlign w:val="center"/>
          </w:tcPr>
          <w:p w14:paraId="1ABEB5E0"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r>
      <w:tr w:rsidR="00B3356B" w:rsidRPr="00397CC5" w14:paraId="0ACB640B" w14:textId="77777777" w:rsidTr="00DE3D5A">
        <w:tc>
          <w:tcPr>
            <w:tcW w:w="3969" w:type="dxa"/>
            <w:tcBorders>
              <w:right w:val="single" w:sz="4" w:space="0" w:color="auto"/>
            </w:tcBorders>
            <w:shd w:val="clear" w:color="auto" w:fill="auto"/>
          </w:tcPr>
          <w:p w14:paraId="33737FB3" w14:textId="01DFF053" w:rsidR="00B3356B" w:rsidRPr="00397CC5" w:rsidRDefault="00B3356B" w:rsidP="00927315">
            <w:pPr>
              <w:suppressAutoHyphens/>
              <w:rPr>
                <w:rFonts w:ascii="CorpoS" w:hAnsi="CorpoS"/>
                <w:b/>
                <w:sz w:val="22"/>
                <w:szCs w:val="22"/>
                <w:lang w:val="en-US"/>
              </w:rPr>
            </w:pPr>
            <w:r>
              <w:rPr>
                <w:rFonts w:ascii="CorpoS" w:hAnsi="CorpoS"/>
                <w:b/>
                <w:sz w:val="22"/>
                <w:szCs w:val="22"/>
                <w:lang w:val="en-US"/>
              </w:rPr>
              <w:t>Order backlog</w:t>
            </w:r>
          </w:p>
        </w:tc>
        <w:tc>
          <w:tcPr>
            <w:tcW w:w="1134" w:type="dxa"/>
            <w:tcBorders>
              <w:left w:val="single" w:sz="4" w:space="0" w:color="auto"/>
              <w:right w:val="single" w:sz="4" w:space="0" w:color="auto"/>
            </w:tcBorders>
          </w:tcPr>
          <w:p w14:paraId="70F6C201" w14:textId="77777777" w:rsidR="00B3356B" w:rsidRPr="00397CC5" w:rsidRDefault="00B3356B"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457D813F" w14:textId="77777777" w:rsidR="00B3356B" w:rsidRPr="00397CC5" w:rsidRDefault="00B3356B"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7AD4227A" w14:textId="3004CC1C"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14,172.2</w:t>
            </w:r>
          </w:p>
        </w:tc>
        <w:tc>
          <w:tcPr>
            <w:tcW w:w="1276" w:type="dxa"/>
            <w:tcBorders>
              <w:top w:val="single" w:sz="4" w:space="0" w:color="auto"/>
              <w:bottom w:val="single" w:sz="4" w:space="0" w:color="auto"/>
            </w:tcBorders>
            <w:shd w:val="clear" w:color="auto" w:fill="auto"/>
            <w:vAlign w:val="center"/>
          </w:tcPr>
          <w:p w14:paraId="373BA54C" w14:textId="681F5E04"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13,224.7</w:t>
            </w:r>
          </w:p>
        </w:tc>
        <w:tc>
          <w:tcPr>
            <w:tcW w:w="1418" w:type="dxa"/>
            <w:tcBorders>
              <w:top w:val="single" w:sz="4" w:space="0" w:color="auto"/>
              <w:bottom w:val="single" w:sz="4" w:space="0" w:color="auto"/>
              <w:right w:val="single" w:sz="18" w:space="0" w:color="auto"/>
            </w:tcBorders>
            <w:shd w:val="clear" w:color="auto" w:fill="auto"/>
            <w:vAlign w:val="center"/>
          </w:tcPr>
          <w:p w14:paraId="06411B92" w14:textId="5BC56F7C"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- 6.7 %</w:t>
            </w:r>
          </w:p>
        </w:tc>
      </w:tr>
      <w:tr w:rsidR="00B3356B" w:rsidRPr="00397CC5" w14:paraId="73C2CDB1" w14:textId="77777777" w:rsidTr="00DE3D5A">
        <w:tc>
          <w:tcPr>
            <w:tcW w:w="3969" w:type="dxa"/>
            <w:tcBorders>
              <w:right w:val="single" w:sz="4" w:space="0" w:color="auto"/>
            </w:tcBorders>
            <w:shd w:val="clear" w:color="auto" w:fill="auto"/>
          </w:tcPr>
          <w:p w14:paraId="37C9AFB8" w14:textId="0D310582" w:rsidR="00B3356B" w:rsidRPr="00397CC5" w:rsidRDefault="00B3356B" w:rsidP="00927315">
            <w:pPr>
              <w:suppressAutoHyphens/>
              <w:ind w:firstLine="176"/>
              <w:rPr>
                <w:rFonts w:ascii="CorpoS" w:hAnsi="CorpoS"/>
                <w:sz w:val="22"/>
                <w:szCs w:val="22"/>
                <w:lang w:val="en-US"/>
              </w:rPr>
            </w:pP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tcPr>
          <w:p w14:paraId="4F6708C0" w14:textId="77777777" w:rsidR="00B3356B" w:rsidRPr="00397CC5" w:rsidRDefault="00B3356B"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3EC77E99" w14:textId="77777777" w:rsidR="00B3356B" w:rsidRPr="00397CC5" w:rsidRDefault="00B3356B"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6508D0D" w14:textId="7A036C2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7,246.0</w:t>
            </w:r>
          </w:p>
        </w:tc>
        <w:tc>
          <w:tcPr>
            <w:tcW w:w="1276" w:type="dxa"/>
            <w:tcBorders>
              <w:top w:val="single" w:sz="4" w:space="0" w:color="auto"/>
              <w:bottom w:val="single" w:sz="4" w:space="0" w:color="auto"/>
            </w:tcBorders>
            <w:shd w:val="clear" w:color="auto" w:fill="auto"/>
            <w:vAlign w:val="center"/>
          </w:tcPr>
          <w:p w14:paraId="5B3FDA8D" w14:textId="7F6A1C9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5,814.8</w:t>
            </w:r>
          </w:p>
        </w:tc>
        <w:tc>
          <w:tcPr>
            <w:tcW w:w="1418" w:type="dxa"/>
            <w:tcBorders>
              <w:top w:val="single" w:sz="4" w:space="0" w:color="auto"/>
              <w:bottom w:val="single" w:sz="4" w:space="0" w:color="auto"/>
              <w:right w:val="single" w:sz="18" w:space="0" w:color="auto"/>
            </w:tcBorders>
            <w:shd w:val="clear" w:color="auto" w:fill="auto"/>
            <w:vAlign w:val="center"/>
          </w:tcPr>
          <w:p w14:paraId="3BB04138" w14:textId="4052C46F"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- 19.8 %</w:t>
            </w:r>
          </w:p>
        </w:tc>
      </w:tr>
      <w:tr w:rsidR="00B3356B" w:rsidRPr="00397CC5" w14:paraId="696F3952" w14:textId="77777777" w:rsidTr="00DE3D5A">
        <w:tc>
          <w:tcPr>
            <w:tcW w:w="3969" w:type="dxa"/>
            <w:tcBorders>
              <w:right w:val="single" w:sz="4" w:space="0" w:color="auto"/>
            </w:tcBorders>
            <w:shd w:val="clear" w:color="auto" w:fill="auto"/>
          </w:tcPr>
          <w:p w14:paraId="135A0307" w14:textId="055860E2" w:rsidR="00B3356B" w:rsidRPr="00397CC5" w:rsidRDefault="00B3356B" w:rsidP="00927315">
            <w:pPr>
              <w:suppressAutoHyphens/>
              <w:ind w:firstLine="176"/>
              <w:rPr>
                <w:rFonts w:ascii="CorpoS" w:hAnsi="CorpoS"/>
                <w:sz w:val="22"/>
                <w:szCs w:val="22"/>
                <w:lang w:val="en-US"/>
              </w:rPr>
            </w:pPr>
            <w:r>
              <w:rPr>
                <w:rFonts w:ascii="CorpoS" w:hAnsi="CorpoS"/>
                <w:sz w:val="22"/>
                <w:szCs w:val="22"/>
                <w:lang w:val="en-US"/>
              </w:rPr>
              <w:t>of which commercial maintenance</w:t>
            </w:r>
          </w:p>
        </w:tc>
        <w:tc>
          <w:tcPr>
            <w:tcW w:w="1134" w:type="dxa"/>
            <w:tcBorders>
              <w:left w:val="single" w:sz="4" w:space="0" w:color="auto"/>
              <w:right w:val="single" w:sz="4" w:space="0" w:color="auto"/>
            </w:tcBorders>
          </w:tcPr>
          <w:p w14:paraId="7F32E39A" w14:textId="77777777" w:rsidR="00B3356B" w:rsidRPr="00397CC5" w:rsidRDefault="00B3356B"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5E5296C3" w14:textId="77777777" w:rsidR="00B3356B" w:rsidRPr="00397CC5" w:rsidRDefault="00B3356B"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216E8E95" w14:textId="46EAA08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6,926.2</w:t>
            </w:r>
          </w:p>
        </w:tc>
        <w:tc>
          <w:tcPr>
            <w:tcW w:w="1276" w:type="dxa"/>
            <w:tcBorders>
              <w:top w:val="single" w:sz="4" w:space="0" w:color="auto"/>
              <w:bottom w:val="single" w:sz="4" w:space="0" w:color="auto"/>
            </w:tcBorders>
            <w:shd w:val="clear" w:color="auto" w:fill="auto"/>
            <w:vAlign w:val="center"/>
          </w:tcPr>
          <w:p w14:paraId="2960B881" w14:textId="0F2D3501"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7,409.9</w:t>
            </w:r>
          </w:p>
        </w:tc>
        <w:tc>
          <w:tcPr>
            <w:tcW w:w="1418" w:type="dxa"/>
            <w:tcBorders>
              <w:top w:val="single" w:sz="4" w:space="0" w:color="auto"/>
              <w:bottom w:val="single" w:sz="4" w:space="0" w:color="auto"/>
              <w:right w:val="single" w:sz="18" w:space="0" w:color="auto"/>
            </w:tcBorders>
            <w:shd w:val="clear" w:color="auto" w:fill="auto"/>
            <w:vAlign w:val="center"/>
          </w:tcPr>
          <w:p w14:paraId="7E93068D" w14:textId="4246AEBD"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+ 7.0 %</w:t>
            </w:r>
          </w:p>
        </w:tc>
      </w:tr>
      <w:tr w:rsidR="00E7506C" w:rsidRPr="00397CC5" w14:paraId="1345BEC6" w14:textId="77777777" w:rsidTr="00DE3D5A">
        <w:trPr>
          <w:cantSplit/>
          <w:trHeight w:val="20"/>
        </w:trPr>
        <w:tc>
          <w:tcPr>
            <w:tcW w:w="3969" w:type="dxa"/>
            <w:tcBorders>
              <w:right w:val="single" w:sz="4" w:space="0" w:color="auto"/>
            </w:tcBorders>
            <w:shd w:val="clear" w:color="auto" w:fill="auto"/>
          </w:tcPr>
          <w:p w14:paraId="6AF6E06B" w14:textId="77777777" w:rsidR="00E7506C" w:rsidRPr="00397CC5" w:rsidRDefault="00E7506C" w:rsidP="00927315">
            <w:pPr>
              <w:suppressAutoHyphens/>
              <w:rPr>
                <w:rFonts w:ascii="CorpoS" w:hAnsi="CorpoS"/>
                <w:sz w:val="8"/>
                <w:szCs w:val="8"/>
                <w:lang w:val="en-US"/>
              </w:rPr>
            </w:pPr>
          </w:p>
        </w:tc>
        <w:tc>
          <w:tcPr>
            <w:tcW w:w="1134" w:type="dxa"/>
            <w:tcBorders>
              <w:left w:val="single" w:sz="4" w:space="0" w:color="auto"/>
              <w:right w:val="single" w:sz="4" w:space="0" w:color="auto"/>
            </w:tcBorders>
          </w:tcPr>
          <w:p w14:paraId="1C0C5CB6" w14:textId="77777777" w:rsidR="00E7506C" w:rsidRPr="00397CC5" w:rsidRDefault="00E7506C" w:rsidP="00927315">
            <w:pPr>
              <w:suppressAutoHyphens/>
              <w:jc w:val="right"/>
              <w:rPr>
                <w:rFonts w:ascii="CorpoS" w:hAnsi="CorpoS"/>
                <w:sz w:val="8"/>
                <w:szCs w:val="8"/>
                <w:lang w:val="en-US"/>
              </w:rPr>
            </w:pPr>
          </w:p>
        </w:tc>
        <w:tc>
          <w:tcPr>
            <w:tcW w:w="1134" w:type="dxa"/>
            <w:tcBorders>
              <w:left w:val="single" w:sz="4" w:space="0" w:color="auto"/>
              <w:right w:val="single" w:sz="18" w:space="0" w:color="auto"/>
            </w:tcBorders>
          </w:tcPr>
          <w:p w14:paraId="214D8511" w14:textId="77777777" w:rsidR="00E7506C" w:rsidRPr="00397CC5" w:rsidRDefault="00E7506C" w:rsidP="00927315">
            <w:pPr>
              <w:suppressAutoHyphens/>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5F69393"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276" w:type="dxa"/>
            <w:tcBorders>
              <w:top w:val="single" w:sz="4" w:space="0" w:color="auto"/>
              <w:bottom w:val="single" w:sz="4" w:space="0" w:color="auto"/>
            </w:tcBorders>
            <w:shd w:val="clear" w:color="auto" w:fill="auto"/>
            <w:vAlign w:val="center"/>
          </w:tcPr>
          <w:p w14:paraId="4F88434C"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w:t>
            </w:r>
          </w:p>
        </w:tc>
        <w:tc>
          <w:tcPr>
            <w:tcW w:w="1418" w:type="dxa"/>
            <w:tcBorders>
              <w:top w:val="single" w:sz="4" w:space="0" w:color="auto"/>
              <w:bottom w:val="single" w:sz="4" w:space="0" w:color="auto"/>
              <w:right w:val="single" w:sz="18" w:space="0" w:color="auto"/>
            </w:tcBorders>
            <w:shd w:val="clear" w:color="auto" w:fill="auto"/>
            <w:vAlign w:val="center"/>
          </w:tcPr>
          <w:p w14:paraId="398A8CBB" w14:textId="77777777" w:rsidR="00E7506C" w:rsidRPr="00397CC5" w:rsidRDefault="00E7506C" w:rsidP="00927315">
            <w:pPr>
              <w:suppressAutoHyphens/>
              <w:ind w:firstLineChars="100" w:firstLine="220"/>
              <w:jc w:val="right"/>
              <w:rPr>
                <w:rFonts w:ascii="CorpoS" w:hAnsi="CorpoS" w:cs="Arial"/>
                <w:sz w:val="22"/>
                <w:szCs w:val="22"/>
                <w:lang w:val="en-US"/>
              </w:rPr>
            </w:pPr>
            <w:r w:rsidRPr="00397CC5">
              <w:rPr>
                <w:rFonts w:ascii="CorpoS" w:hAnsi="CorpoS" w:cs="Arial"/>
                <w:sz w:val="22"/>
                <w:szCs w:val="22"/>
                <w:lang w:val="en-US"/>
              </w:rPr>
              <w:t xml:space="preserve">  </w:t>
            </w:r>
          </w:p>
        </w:tc>
      </w:tr>
      <w:tr w:rsidR="00B3356B" w:rsidRPr="00397CC5" w14:paraId="4DAE8AF1" w14:textId="77777777" w:rsidTr="00DE3D5A">
        <w:tc>
          <w:tcPr>
            <w:tcW w:w="3969" w:type="dxa"/>
            <w:tcBorders>
              <w:right w:val="single" w:sz="4" w:space="0" w:color="auto"/>
            </w:tcBorders>
            <w:shd w:val="clear" w:color="auto" w:fill="auto"/>
          </w:tcPr>
          <w:p w14:paraId="75B4676D" w14:textId="05DC9861" w:rsidR="00B3356B" w:rsidRPr="00397CC5" w:rsidRDefault="00B3356B" w:rsidP="00927315">
            <w:pPr>
              <w:suppressAutoHyphens/>
              <w:rPr>
                <w:rFonts w:ascii="CorpoS" w:hAnsi="CorpoS"/>
                <w:b/>
                <w:sz w:val="22"/>
                <w:szCs w:val="22"/>
                <w:lang w:val="en-US"/>
              </w:rPr>
            </w:pPr>
            <w:r>
              <w:rPr>
                <w:rFonts w:ascii="CorpoS" w:hAnsi="CorpoS"/>
                <w:b/>
                <w:sz w:val="22"/>
                <w:szCs w:val="22"/>
                <w:lang w:val="en-US"/>
              </w:rPr>
              <w:t>Employees</w:t>
            </w:r>
          </w:p>
        </w:tc>
        <w:tc>
          <w:tcPr>
            <w:tcW w:w="1134" w:type="dxa"/>
            <w:tcBorders>
              <w:left w:val="single" w:sz="4" w:space="0" w:color="auto"/>
              <w:right w:val="single" w:sz="4" w:space="0" w:color="auto"/>
            </w:tcBorders>
          </w:tcPr>
          <w:p w14:paraId="24F0B4F7" w14:textId="77777777" w:rsidR="00B3356B" w:rsidRPr="00397CC5" w:rsidRDefault="00B3356B" w:rsidP="00927315">
            <w:pPr>
              <w:suppressAutoHyphens/>
              <w:jc w:val="right"/>
              <w:rPr>
                <w:rFonts w:ascii="CorpoS" w:hAnsi="CorpoS"/>
                <w:sz w:val="22"/>
                <w:szCs w:val="22"/>
                <w:lang w:val="en-US"/>
              </w:rPr>
            </w:pPr>
          </w:p>
        </w:tc>
        <w:tc>
          <w:tcPr>
            <w:tcW w:w="1134" w:type="dxa"/>
            <w:tcBorders>
              <w:left w:val="single" w:sz="4" w:space="0" w:color="auto"/>
              <w:right w:val="single" w:sz="18" w:space="0" w:color="auto"/>
            </w:tcBorders>
          </w:tcPr>
          <w:p w14:paraId="415B1EA7" w14:textId="77777777" w:rsidR="00B3356B" w:rsidRPr="00397CC5" w:rsidRDefault="00B3356B" w:rsidP="00927315">
            <w:pPr>
              <w:suppressAutoHyphens/>
              <w:jc w:val="right"/>
              <w:rPr>
                <w:rFonts w:ascii="CorpoS" w:hAnsi="CorpoS"/>
                <w:sz w:val="22"/>
                <w:szCs w:val="22"/>
                <w:lang w:val="en-US"/>
              </w:rPr>
            </w:pPr>
          </w:p>
        </w:tc>
        <w:tc>
          <w:tcPr>
            <w:tcW w:w="1276" w:type="dxa"/>
            <w:tcBorders>
              <w:top w:val="single" w:sz="4" w:space="0" w:color="auto"/>
              <w:left w:val="single" w:sz="18" w:space="0" w:color="auto"/>
              <w:bottom w:val="single" w:sz="18" w:space="0" w:color="auto"/>
            </w:tcBorders>
            <w:shd w:val="clear" w:color="auto" w:fill="auto"/>
            <w:vAlign w:val="center"/>
          </w:tcPr>
          <w:p w14:paraId="5FB3CBFA" w14:textId="387C2F5E"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8,368</w:t>
            </w:r>
          </w:p>
        </w:tc>
        <w:tc>
          <w:tcPr>
            <w:tcW w:w="1276" w:type="dxa"/>
            <w:tcBorders>
              <w:top w:val="single" w:sz="4" w:space="0" w:color="auto"/>
              <w:bottom w:val="single" w:sz="18" w:space="0" w:color="auto"/>
            </w:tcBorders>
            <w:shd w:val="clear" w:color="auto" w:fill="auto"/>
            <w:vAlign w:val="center"/>
          </w:tcPr>
          <w:p w14:paraId="0FA51176" w14:textId="0CF9F1F7"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8,846</w:t>
            </w:r>
          </w:p>
        </w:tc>
        <w:tc>
          <w:tcPr>
            <w:tcW w:w="1418" w:type="dxa"/>
            <w:tcBorders>
              <w:top w:val="single" w:sz="4" w:space="0" w:color="auto"/>
              <w:bottom w:val="single" w:sz="18" w:space="0" w:color="auto"/>
              <w:right w:val="single" w:sz="18" w:space="0" w:color="auto"/>
            </w:tcBorders>
            <w:shd w:val="clear" w:color="auto" w:fill="auto"/>
            <w:vAlign w:val="center"/>
          </w:tcPr>
          <w:p w14:paraId="4A9B94F6" w14:textId="2CAA6F63" w:rsidR="00B3356B" w:rsidRPr="00397CC5" w:rsidRDefault="00B3356B" w:rsidP="00927315">
            <w:pPr>
              <w:suppressAutoHyphens/>
              <w:ind w:firstLineChars="100" w:firstLine="220"/>
              <w:jc w:val="right"/>
              <w:rPr>
                <w:rFonts w:ascii="CorpoS" w:hAnsi="CorpoS" w:cs="Arial"/>
                <w:sz w:val="22"/>
                <w:szCs w:val="22"/>
                <w:lang w:val="en-US"/>
              </w:rPr>
            </w:pPr>
            <w:r>
              <w:rPr>
                <w:rFonts w:ascii="CorpoS" w:hAnsi="CorpoS" w:cs="Arial"/>
                <w:sz w:val="22"/>
                <w:szCs w:val="22"/>
              </w:rPr>
              <w:t>+ 5.7 %</w:t>
            </w:r>
          </w:p>
        </w:tc>
      </w:tr>
    </w:tbl>
    <w:p w14:paraId="3C1516C5" w14:textId="77777777" w:rsidR="00511729" w:rsidRPr="00397CC5" w:rsidRDefault="00511729" w:rsidP="00927315">
      <w:pPr>
        <w:suppressAutoHyphens/>
        <w:ind w:right="1984"/>
        <w:jc w:val="both"/>
        <w:rPr>
          <w:rFonts w:ascii="CorpoS" w:hAnsi="CorpoS"/>
          <w:lang w:val="en-US"/>
        </w:rPr>
      </w:pPr>
    </w:p>
    <w:p w14:paraId="10174788" w14:textId="77777777" w:rsidR="003536F8" w:rsidRPr="00397CC5" w:rsidRDefault="003536F8" w:rsidP="00927315">
      <w:pPr>
        <w:suppressAutoHyphens/>
        <w:ind w:right="1984"/>
        <w:jc w:val="both"/>
        <w:rPr>
          <w:rFonts w:ascii="CorpoS" w:hAnsi="CorpoS"/>
          <w:lang w:val="en-US"/>
        </w:rPr>
      </w:pPr>
    </w:p>
    <w:p w14:paraId="681FD637" w14:textId="77777777" w:rsidR="00970F2A" w:rsidRPr="00397CC5" w:rsidRDefault="00970F2A" w:rsidP="00927315">
      <w:pPr>
        <w:suppressAutoHyphens/>
        <w:ind w:right="1984"/>
        <w:jc w:val="both"/>
        <w:rPr>
          <w:rFonts w:ascii="CorpoS" w:hAnsi="CorpoS"/>
          <w:lang w:val="en-US"/>
        </w:rPr>
      </w:pPr>
    </w:p>
    <w:p w14:paraId="3CEC9469" w14:textId="77777777" w:rsidR="001B1A3B" w:rsidRPr="00A903B7" w:rsidRDefault="001B1A3B" w:rsidP="001B1A3B">
      <w:pPr>
        <w:ind w:right="1984"/>
        <w:jc w:val="both"/>
        <w:rPr>
          <w:rFonts w:ascii="CorpoS" w:hAnsi="CorpoS"/>
          <w:b/>
          <w:sz w:val="20"/>
          <w:u w:val="single"/>
          <w:lang w:val="en-US"/>
        </w:rPr>
      </w:pPr>
      <w:r w:rsidRPr="00A903B7">
        <w:rPr>
          <w:rFonts w:ascii="CorpoS" w:hAnsi="CorpoS"/>
          <w:b/>
          <w:sz w:val="20"/>
          <w:u w:val="single"/>
          <w:lang w:val="en-US"/>
        </w:rPr>
        <w:lastRenderedPageBreak/>
        <w:t>About MTU Aero Engines</w:t>
      </w:r>
    </w:p>
    <w:p w14:paraId="5B06551D" w14:textId="77777777" w:rsidR="001B1A3B" w:rsidRPr="004A16B7" w:rsidRDefault="001B1A3B" w:rsidP="001B1A3B">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w:t>
      </w:r>
      <w:r w:rsidRPr="00A903B7">
        <w:rPr>
          <w:rFonts w:ascii="CorpoS" w:hAnsi="CorpoS"/>
          <w:sz w:val="20"/>
          <w:lang w:val="en-US"/>
        </w:rPr>
        <w:t>r</w:t>
      </w:r>
      <w:r w:rsidRPr="00A903B7">
        <w:rPr>
          <w:rFonts w:ascii="CorpoS" w:hAnsi="CorpoS"/>
          <w:sz w:val="20"/>
          <w:lang w:val="en-US"/>
        </w:rPr>
        <w:t>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A903B7">
        <w:rPr>
          <w:rFonts w:ascii="CorpoS" w:hAnsi="CorpoS"/>
          <w:sz w:val="20"/>
          <w:lang w:val="en-US"/>
        </w:rPr>
        <w:t>m</w:t>
      </w:r>
      <w:r w:rsidRPr="00A903B7">
        <w:rPr>
          <w:rFonts w:ascii="CorpoS" w:hAnsi="CorpoS"/>
          <w:sz w:val="20"/>
          <w:lang w:val="en-US"/>
        </w:rPr>
        <w:t>bined under the roof of MTU Maintenance. In the military sector, MTU Aero Engines is the lead industrial par</w:t>
      </w:r>
      <w:r w:rsidRPr="00A903B7">
        <w:rPr>
          <w:rFonts w:ascii="CorpoS" w:hAnsi="CorpoS"/>
          <w:sz w:val="20"/>
          <w:lang w:val="en-US"/>
        </w:rPr>
        <w:t>t</w:t>
      </w:r>
      <w:r w:rsidRPr="00A903B7">
        <w:rPr>
          <w:rFonts w:ascii="CorpoS" w:hAnsi="CorpoS"/>
          <w:sz w:val="20"/>
          <w:lang w:val="en-US"/>
        </w:rPr>
        <w:t>ner for almost every type of engine flown by the German armed forces. MTU operates affiliates around the globe; its corporate headquarters are based in Munich, Germany.</w:t>
      </w:r>
    </w:p>
    <w:p w14:paraId="1CFC12A1" w14:textId="77777777" w:rsidR="001B1A3B" w:rsidRPr="004A16B7" w:rsidRDefault="001B1A3B" w:rsidP="001B1A3B">
      <w:pPr>
        <w:ind w:right="424"/>
        <w:jc w:val="both"/>
        <w:rPr>
          <w:rFonts w:ascii="CorpoS" w:hAnsi="CorpoS"/>
          <w:sz w:val="20"/>
          <w:lang w:val="en-US"/>
        </w:rPr>
      </w:pPr>
    </w:p>
    <w:p w14:paraId="0D635CD8" w14:textId="77777777" w:rsidR="001B1A3B" w:rsidRPr="004A16B7" w:rsidRDefault="001B1A3B" w:rsidP="001B1A3B">
      <w:pPr>
        <w:tabs>
          <w:tab w:val="left" w:pos="7230"/>
          <w:tab w:val="left" w:pos="7938"/>
          <w:tab w:val="left" w:pos="8080"/>
        </w:tabs>
        <w:ind w:right="1558"/>
        <w:jc w:val="both"/>
        <w:rPr>
          <w:rFonts w:ascii="CorpoS" w:hAnsi="CorpoS"/>
          <w:sz w:val="20"/>
          <w:lang w:val="en-US"/>
        </w:rPr>
      </w:pPr>
      <w:r w:rsidRPr="00833E68">
        <w:rPr>
          <w:rFonts w:ascii="CorpoS" w:hAnsi="CorpoS"/>
          <w:sz w:val="20"/>
          <w:lang w:val="en-US"/>
        </w:rPr>
        <w:t>Geared Turbofan</w:t>
      </w:r>
      <w:r w:rsidRPr="004A16B7">
        <w:rPr>
          <w:rFonts w:ascii="CorpoS" w:hAnsi="CorpoS"/>
          <w:sz w:val="20"/>
          <w:lang w:val="en-US"/>
        </w:rPr>
        <w:t xml:space="preserve"> is a trademark application of Pratt &amp; Whitney</w:t>
      </w:r>
    </w:p>
    <w:p w14:paraId="37ED8058" w14:textId="77777777" w:rsidR="001B1A3B" w:rsidRPr="004A16B7" w:rsidRDefault="001B1A3B" w:rsidP="001B1A3B">
      <w:pPr>
        <w:ind w:right="424"/>
        <w:jc w:val="both"/>
        <w:rPr>
          <w:rFonts w:ascii="CorpoS" w:hAnsi="CorpoS" w:cs="Arial"/>
          <w:sz w:val="20"/>
          <w:lang w:val="en-US"/>
        </w:rPr>
      </w:pPr>
    </w:p>
    <w:p w14:paraId="2D617A73" w14:textId="77777777" w:rsidR="001B1A3B" w:rsidRPr="004A16B7" w:rsidRDefault="001B1A3B" w:rsidP="001B1A3B">
      <w:pPr>
        <w:ind w:right="424"/>
        <w:jc w:val="both"/>
        <w:rPr>
          <w:rFonts w:ascii="CorpoS" w:hAnsi="CorpoS" w:cs="Arial"/>
          <w:sz w:val="20"/>
          <w:lang w:val="en-US"/>
        </w:rPr>
      </w:pPr>
    </w:p>
    <w:p w14:paraId="0FA35663" w14:textId="77777777" w:rsidR="001B1A3B" w:rsidRPr="00A903B7" w:rsidRDefault="001B1A3B" w:rsidP="001B1A3B">
      <w:pPr>
        <w:rPr>
          <w:rFonts w:ascii="CorpoS" w:hAnsi="CorpoS"/>
          <w:sz w:val="20"/>
          <w:u w:val="single"/>
          <w:lang w:val="en-US"/>
        </w:rPr>
      </w:pPr>
      <w:r w:rsidRPr="00A903B7">
        <w:rPr>
          <w:rFonts w:ascii="CorpoS" w:hAnsi="CorpoS"/>
          <w:sz w:val="20"/>
          <w:u w:val="single"/>
          <w:lang w:val="en-US"/>
        </w:rPr>
        <w:t>Contacts:</w:t>
      </w:r>
    </w:p>
    <w:p w14:paraId="0835C7D2" w14:textId="77777777" w:rsidR="001B1A3B" w:rsidRPr="00A903B7" w:rsidRDefault="001B1A3B" w:rsidP="001B1A3B">
      <w:pPr>
        <w:rPr>
          <w:rFonts w:ascii="CorpoS" w:hAnsi="CorpoS"/>
          <w:sz w:val="20"/>
          <w:lang w:val="en-US"/>
        </w:rPr>
      </w:pPr>
      <w:r w:rsidRPr="00A903B7">
        <w:rPr>
          <w:rFonts w:ascii="CorpoS" w:hAnsi="CorpoS"/>
          <w:sz w:val="20"/>
          <w:lang w:val="en-US"/>
        </w:rPr>
        <w:t xml:space="preserve">Eckhard </w:t>
      </w:r>
      <w:proofErr w:type="spellStart"/>
      <w:r w:rsidRPr="00A903B7">
        <w:rPr>
          <w:rFonts w:ascii="CorpoS" w:hAnsi="CorpoS"/>
          <w:sz w:val="20"/>
          <w:lang w:val="en-US"/>
        </w:rPr>
        <w:t>Zanger</w:t>
      </w:r>
      <w:proofErr w:type="spellEnd"/>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Eva Simon</w:t>
      </w:r>
    </w:p>
    <w:p w14:paraId="123F6B14" w14:textId="77777777" w:rsidR="001B1A3B" w:rsidRPr="00A903B7" w:rsidRDefault="001B1A3B" w:rsidP="001B1A3B">
      <w:pPr>
        <w:rPr>
          <w:rFonts w:ascii="CorpoS" w:hAnsi="CorpoS"/>
          <w:sz w:val="20"/>
          <w:lang w:val="en-US"/>
        </w:rPr>
      </w:pPr>
      <w:r w:rsidRPr="00A903B7">
        <w:rPr>
          <w:rFonts w:ascii="CorpoS" w:hAnsi="CorpoS"/>
          <w:sz w:val="20"/>
          <w:lang w:val="en-US"/>
        </w:rPr>
        <w:t>Senior Vice President Corporate Communications</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Press Officer Finance</w:t>
      </w:r>
    </w:p>
    <w:p w14:paraId="25FBA30D" w14:textId="77777777" w:rsidR="001B1A3B" w:rsidRPr="00A903B7" w:rsidRDefault="001B1A3B" w:rsidP="001B1A3B">
      <w:pPr>
        <w:rPr>
          <w:rFonts w:ascii="CorpoS" w:hAnsi="CorpoS"/>
          <w:sz w:val="20"/>
          <w:lang w:val="en-US"/>
        </w:rPr>
      </w:pPr>
      <w:r w:rsidRPr="00A903B7">
        <w:rPr>
          <w:rFonts w:ascii="CorpoS" w:hAnsi="CorpoS"/>
          <w:sz w:val="20"/>
          <w:lang w:val="en-US"/>
        </w:rPr>
        <w:t>and Public Affairs</w:t>
      </w:r>
    </w:p>
    <w:p w14:paraId="41AAF9D2" w14:textId="77777777" w:rsidR="001B1A3B" w:rsidRPr="00A903B7" w:rsidRDefault="001B1A3B" w:rsidP="001B1A3B">
      <w:pPr>
        <w:rPr>
          <w:rFonts w:ascii="CorpoS" w:hAnsi="CorpoS"/>
          <w:sz w:val="20"/>
          <w:lang w:val="en-US"/>
        </w:rPr>
      </w:pPr>
      <w:r w:rsidRPr="00A903B7">
        <w:rPr>
          <w:rFonts w:ascii="CorpoS" w:hAnsi="CorpoS"/>
          <w:sz w:val="20"/>
          <w:lang w:val="en-US"/>
        </w:rPr>
        <w:t>Phone: + 49 (0)89 14 89-91 13</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Phone: +49 (0)89 14 89-43 32</w:t>
      </w:r>
      <w:r w:rsidRPr="00A903B7">
        <w:rPr>
          <w:rFonts w:ascii="CorpoS" w:hAnsi="CorpoS"/>
          <w:sz w:val="20"/>
          <w:lang w:val="en-US"/>
        </w:rPr>
        <w:tab/>
      </w:r>
    </w:p>
    <w:p w14:paraId="573ECDCC" w14:textId="77777777" w:rsidR="001B1A3B" w:rsidRPr="00A903B7" w:rsidRDefault="001B1A3B" w:rsidP="001B1A3B">
      <w:pPr>
        <w:rPr>
          <w:rFonts w:ascii="CorpoS" w:hAnsi="CorpoS"/>
          <w:sz w:val="20"/>
          <w:lang w:val="en-US"/>
        </w:rPr>
      </w:pPr>
      <w:r w:rsidRPr="00A903B7">
        <w:rPr>
          <w:rFonts w:ascii="CorpoS" w:hAnsi="CorpoS"/>
          <w:sz w:val="20"/>
          <w:lang w:val="en-US"/>
        </w:rPr>
        <w:t>Mobile: + 49 (0) 176-1000 6158</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Mobile: +49 (0) 176-1008 4162</w:t>
      </w:r>
    </w:p>
    <w:p w14:paraId="1F69E327" w14:textId="77777777" w:rsidR="001B1A3B" w:rsidRPr="00A903B7" w:rsidRDefault="001B1A3B" w:rsidP="001B1A3B">
      <w:pPr>
        <w:rPr>
          <w:rFonts w:ascii="CorpoS" w:hAnsi="CorpoS"/>
          <w:sz w:val="20"/>
          <w:lang w:val="en-US"/>
        </w:rPr>
      </w:pPr>
      <w:r w:rsidRPr="00A903B7">
        <w:rPr>
          <w:rFonts w:ascii="CorpoS" w:hAnsi="CorpoS"/>
          <w:sz w:val="20"/>
          <w:lang w:val="en-US"/>
        </w:rPr>
        <w:t xml:space="preserve">Email: Eckhard.Zanger@mtu.de  </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Email: Eva.Simon@mtu.de</w:t>
      </w:r>
    </w:p>
    <w:p w14:paraId="3C3C130E" w14:textId="77777777" w:rsidR="001B1A3B" w:rsidRPr="00A903B7" w:rsidRDefault="001B1A3B" w:rsidP="001B1A3B">
      <w:pPr>
        <w:rPr>
          <w:rFonts w:ascii="CorpoS" w:hAnsi="CorpoS"/>
          <w:sz w:val="20"/>
          <w:lang w:val="en-US"/>
        </w:rPr>
      </w:pPr>
    </w:p>
    <w:p w14:paraId="67B3C94A" w14:textId="77777777" w:rsidR="001B1A3B" w:rsidRPr="00A903B7" w:rsidRDefault="001B1A3B" w:rsidP="001B1A3B">
      <w:pPr>
        <w:pStyle w:val="MTUBodycopy"/>
        <w:tabs>
          <w:tab w:val="left" w:pos="8505"/>
        </w:tabs>
        <w:ind w:right="1984"/>
        <w:jc w:val="both"/>
        <w:rPr>
          <w:i/>
          <w:lang w:val="en-US"/>
        </w:rPr>
      </w:pPr>
    </w:p>
    <w:p w14:paraId="773E077A" w14:textId="77777777" w:rsidR="001B1A3B" w:rsidRPr="00A903B7" w:rsidRDefault="001B1A3B" w:rsidP="001B1A3B">
      <w:pPr>
        <w:pStyle w:val="MTUBodycopy"/>
        <w:tabs>
          <w:tab w:val="left" w:pos="8505"/>
        </w:tabs>
        <w:ind w:right="1984"/>
        <w:jc w:val="both"/>
        <w:rPr>
          <w:i/>
          <w:lang w:val="en-US"/>
        </w:rPr>
      </w:pPr>
      <w:r w:rsidRPr="00A903B7">
        <w:rPr>
          <w:i/>
          <w:lang w:val="en-US"/>
        </w:rPr>
        <w:t xml:space="preserve">Press archive and photos </w:t>
      </w:r>
      <w:hyperlink r:id="rId9" w:history="1">
        <w:r w:rsidRPr="00A903B7">
          <w:rPr>
            <w:rStyle w:val="Hyperlink"/>
            <w:i/>
            <w:lang w:val="en-US"/>
          </w:rPr>
          <w:t>http://www.mtu.de</w:t>
        </w:r>
      </w:hyperlink>
    </w:p>
    <w:p w14:paraId="21B1CD3B" w14:textId="77777777" w:rsidR="001B1A3B" w:rsidRPr="00A903B7" w:rsidRDefault="001B1A3B" w:rsidP="001B1A3B">
      <w:pPr>
        <w:rPr>
          <w:rFonts w:ascii="CorpoS" w:hAnsi="CorpoS"/>
          <w:sz w:val="20"/>
          <w:lang w:val="en-US"/>
        </w:rPr>
      </w:pPr>
    </w:p>
    <w:p w14:paraId="3D1B184A" w14:textId="77777777" w:rsidR="001B1A3B" w:rsidRPr="00A903B7" w:rsidRDefault="001B1A3B" w:rsidP="001B1A3B">
      <w:pPr>
        <w:rPr>
          <w:rStyle w:val="h41"/>
          <w:rFonts w:ascii="CorpoS" w:hAnsi="CorpoS"/>
          <w:sz w:val="16"/>
          <w:szCs w:val="16"/>
          <w:lang w:val="en-US"/>
        </w:rPr>
      </w:pPr>
    </w:p>
    <w:p w14:paraId="537FB024" w14:textId="77777777" w:rsidR="001B1A3B" w:rsidRPr="00A903B7" w:rsidRDefault="001B1A3B" w:rsidP="001B1A3B">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64952613" w14:textId="77777777" w:rsidR="001B1A3B" w:rsidRPr="004A16B7" w:rsidRDefault="001B1A3B" w:rsidP="001B1A3B">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48E28E4E" w14:textId="77777777" w:rsidR="001B1A3B" w:rsidRPr="005251E3" w:rsidRDefault="001B1A3B" w:rsidP="001B1A3B">
      <w:pPr>
        <w:ind w:right="1984"/>
        <w:jc w:val="both"/>
        <w:rPr>
          <w:rFonts w:ascii="CorpoS" w:hAnsi="CorpoS"/>
          <w:b/>
          <w:sz w:val="22"/>
          <w:szCs w:val="22"/>
          <w:lang w:val="en-US"/>
        </w:rPr>
      </w:pPr>
    </w:p>
    <w:p w14:paraId="474328B1" w14:textId="6AB500CC" w:rsidR="00DD64E9" w:rsidRPr="001B1A3B" w:rsidRDefault="00DD64E9" w:rsidP="001B1A3B">
      <w:pPr>
        <w:suppressAutoHyphens/>
        <w:ind w:right="1984"/>
        <w:jc w:val="both"/>
        <w:rPr>
          <w:rFonts w:ascii="CorpoS" w:hAnsi="CorpoS"/>
          <w:b/>
          <w:sz w:val="22"/>
          <w:szCs w:val="22"/>
          <w:lang w:val="en-US"/>
        </w:rPr>
      </w:pPr>
    </w:p>
    <w:sectPr w:rsidR="00DD64E9" w:rsidRPr="001B1A3B"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51F89D" w15:done="0"/>
  <w15:commentEx w15:paraId="6EDC7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60AF" w14:textId="77777777" w:rsidR="005909F5" w:rsidRDefault="005909F5">
      <w:r>
        <w:separator/>
      </w:r>
    </w:p>
  </w:endnote>
  <w:endnote w:type="continuationSeparator" w:id="0">
    <w:p w14:paraId="7A8F8E43" w14:textId="77777777" w:rsidR="005909F5" w:rsidRDefault="0059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9DC0" w14:textId="77777777" w:rsidR="005909F5" w:rsidRDefault="005909F5">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BC25" w14:textId="77777777" w:rsidR="005909F5" w:rsidRDefault="005909F5">
    <w:pPr>
      <w:pStyle w:val="Fuzeile"/>
      <w:spacing w:line="160" w:lineRule="exact"/>
      <w:rPr>
        <w:rFonts w:ascii="CorpoS" w:hAnsi="CorpoS"/>
        <w:color w:val="000000"/>
        <w:sz w:val="15"/>
      </w:rPr>
    </w:pPr>
    <w:r>
      <w:rPr>
        <w:rFonts w:ascii="CorpoS" w:hAnsi="CorpoS"/>
        <w:color w:val="000000"/>
        <w:sz w:val="15"/>
      </w:rPr>
      <w:t>MTU Aero Engines AG</w:t>
    </w:r>
  </w:p>
  <w:p w14:paraId="186EC032" w14:textId="77777777" w:rsidR="005909F5" w:rsidRDefault="005909F5">
    <w:pPr>
      <w:pStyle w:val="Fuzeile"/>
      <w:spacing w:line="160" w:lineRule="exact"/>
      <w:rPr>
        <w:rFonts w:ascii="CorpoS" w:hAnsi="CorpoS"/>
        <w:color w:val="000000"/>
        <w:sz w:val="15"/>
      </w:rPr>
    </w:pPr>
    <w:r>
      <w:rPr>
        <w:rFonts w:ascii="CorpoS" w:hAnsi="CorpoS"/>
        <w:color w:val="000000"/>
        <w:sz w:val="15"/>
      </w:rPr>
      <w:t>Corporate Communications</w:t>
    </w:r>
  </w:p>
  <w:p w14:paraId="6BCFEF3D" w14:textId="77777777" w:rsidR="005909F5" w:rsidRPr="00150467" w:rsidRDefault="005909F5">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2319F664" w14:textId="77777777" w:rsidR="005909F5" w:rsidRPr="00150467" w:rsidRDefault="005909F5">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60E1E4A" w14:textId="77777777" w:rsidR="005909F5" w:rsidRDefault="005909F5">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6ACCD0E" w14:textId="77777777" w:rsidR="005909F5" w:rsidRDefault="005909F5">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E437990" w14:textId="77777777" w:rsidR="005909F5" w:rsidRDefault="005909F5">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3D9B5D3C" w14:textId="77777777" w:rsidR="005909F5" w:rsidRDefault="005909F5">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DFFF" w14:textId="77777777" w:rsidR="005909F5" w:rsidRDefault="005909F5">
      <w:r>
        <w:separator/>
      </w:r>
    </w:p>
  </w:footnote>
  <w:footnote w:type="continuationSeparator" w:id="0">
    <w:p w14:paraId="5BEE51FE" w14:textId="77777777" w:rsidR="005909F5" w:rsidRDefault="005909F5">
      <w:r>
        <w:continuationSeparator/>
      </w:r>
    </w:p>
  </w:footnote>
  <w:footnote w:id="1">
    <w:p w14:paraId="07AFD359" w14:textId="77777777" w:rsidR="00754E62" w:rsidRPr="007F72BE" w:rsidRDefault="00754E62" w:rsidP="00754E62">
      <w:pPr>
        <w:pStyle w:val="Funotentext"/>
        <w:rPr>
          <w:rFonts w:ascii="CorpoS" w:hAnsi="CorpoS"/>
          <w:b/>
          <w:sz w:val="16"/>
          <w:szCs w:val="16"/>
          <w:lang w:val="en-US"/>
        </w:rPr>
      </w:pPr>
      <w:r>
        <w:rPr>
          <w:rStyle w:val="Funotenzeichen"/>
          <w:rFonts w:ascii="CorpoS" w:hAnsi="CorpoS"/>
          <w:b/>
          <w:sz w:val="16"/>
          <w:szCs w:val="16"/>
        </w:rPr>
        <w:footnoteRef/>
      </w:r>
      <w:r w:rsidRPr="007F72BE">
        <w:rPr>
          <w:rFonts w:ascii="CorpoS" w:hAnsi="CorpoS"/>
          <w:b/>
          <w:sz w:val="16"/>
          <w:szCs w:val="16"/>
          <w:lang w:val="en-US"/>
        </w:rPr>
        <w:t xml:space="preserve"> Adjusted EBIT =</w:t>
      </w:r>
      <w:r w:rsidRPr="007F72BE">
        <w:rPr>
          <w:rFonts w:ascii="CorpoS" w:hAnsi="CorpoS"/>
          <w:b/>
          <w:sz w:val="22"/>
          <w:szCs w:val="22"/>
          <w:lang w:val="en-US"/>
        </w:rPr>
        <w:t xml:space="preserve"> </w:t>
      </w:r>
      <w:r w:rsidRPr="007F72BE">
        <w:rPr>
          <w:rFonts w:ascii="CorpoS" w:hAnsi="CorpoS"/>
          <w:b/>
          <w:sz w:val="16"/>
          <w:szCs w:val="16"/>
          <w:lang w:val="en-US"/>
        </w:rPr>
        <w:t>Earnings before interest and tax, calculated on a comparable basis</w:t>
      </w:r>
    </w:p>
  </w:footnote>
  <w:footnote w:id="2">
    <w:p w14:paraId="7F4BBCCB" w14:textId="77777777" w:rsidR="00754E62" w:rsidRPr="007F72BE" w:rsidRDefault="00754E62" w:rsidP="00754E62">
      <w:pPr>
        <w:pStyle w:val="Funotentext"/>
        <w:rPr>
          <w:rFonts w:ascii="CorpoS" w:hAnsi="CorpoS"/>
          <w:b/>
          <w:sz w:val="16"/>
          <w:szCs w:val="16"/>
          <w:lang w:val="en-US"/>
        </w:rPr>
      </w:pPr>
      <w:r>
        <w:rPr>
          <w:rStyle w:val="Funotenzeichen"/>
          <w:rFonts w:ascii="CorpoS" w:hAnsi="CorpoS"/>
          <w:b/>
          <w:sz w:val="16"/>
          <w:szCs w:val="16"/>
        </w:rPr>
        <w:footnoteRef/>
      </w:r>
      <w:r w:rsidRPr="007F72BE">
        <w:rPr>
          <w:rFonts w:ascii="CorpoS" w:hAnsi="CorpoS"/>
          <w:b/>
          <w:sz w:val="16"/>
          <w:szCs w:val="16"/>
          <w:lang w:val="en-US"/>
        </w:rPr>
        <w:t xml:space="preserve"> Adjusted net income =</w:t>
      </w:r>
      <w:r w:rsidRPr="007F72BE">
        <w:rPr>
          <w:rFonts w:ascii="CorpoS" w:hAnsi="CorpoS"/>
          <w:b/>
          <w:sz w:val="22"/>
          <w:szCs w:val="22"/>
          <w:lang w:val="en-US"/>
        </w:rPr>
        <w:t xml:space="preserve"> </w:t>
      </w:r>
      <w:r w:rsidRPr="007F72BE">
        <w:rPr>
          <w:rFonts w:ascii="CorpoS" w:hAnsi="CorpoS"/>
          <w:b/>
          <w:sz w:val="16"/>
          <w:szCs w:val="16"/>
          <w:lang w:val="en-US"/>
        </w:rPr>
        <w:t>Earnings after tax, calculated on a comparable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0CBB" w14:textId="77777777" w:rsidR="005909F5" w:rsidRDefault="005909F5">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44E357" wp14:editId="05D27C64">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81B6" w14:textId="77777777" w:rsidR="005909F5" w:rsidRPr="00A775D8" w:rsidRDefault="005909F5"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6FABE80" wp14:editId="0C6B1ADB">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F1190" w14:textId="77777777" w:rsidR="005909F5" w:rsidRPr="00507889" w:rsidRDefault="005909F5"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3F1FBD5" wp14:editId="7556DDA9">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4ABF" w14:textId="4E4B8B92" w:rsidR="005909F5" w:rsidRPr="00694A29" w:rsidRDefault="005909F5"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00D95B2B">
                            <w:rPr>
                              <w:rFonts w:ascii="CorpoSLig" w:hAnsi="CorpoSLig"/>
                              <w:b/>
                              <w:sz w:val="32"/>
                              <w:szCs w:val="32"/>
                            </w:rPr>
                            <w:t>r</w:t>
                          </w:r>
                          <w:r>
                            <w:rPr>
                              <w:rFonts w:ascii="CorpoSLig" w:hAnsi="CorpoSLig"/>
                              <w:b/>
                              <w:sz w:val="32"/>
                              <w:szCs w:val="32"/>
                            </w:rPr>
                            <w:t>elease</w:t>
                          </w:r>
                        </w:p>
                        <w:p w14:paraId="6A6D2EDE" w14:textId="77777777" w:rsidR="005909F5" w:rsidRPr="00354BD1" w:rsidRDefault="005909F5"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18114ABF" w14:textId="4E4B8B92" w:rsidR="005909F5" w:rsidRPr="00694A29" w:rsidRDefault="005909F5"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00D95B2B">
                      <w:rPr>
                        <w:rFonts w:ascii="CorpoSLig" w:hAnsi="CorpoSLig"/>
                        <w:b/>
                        <w:sz w:val="32"/>
                        <w:szCs w:val="32"/>
                      </w:rPr>
                      <w:t>r</w:t>
                    </w:r>
                    <w:r>
                      <w:rPr>
                        <w:rFonts w:ascii="CorpoSLig" w:hAnsi="CorpoSLig"/>
                        <w:b/>
                        <w:sz w:val="32"/>
                        <w:szCs w:val="32"/>
                      </w:rPr>
                      <w:t>elease</w:t>
                    </w:r>
                  </w:p>
                  <w:p w14:paraId="6A6D2EDE" w14:textId="77777777" w:rsidR="005909F5" w:rsidRPr="00354BD1" w:rsidRDefault="005909F5"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082A0F2" wp14:editId="4E6523D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EEC0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91911C" w14:textId="77777777" w:rsidR="005909F5" w:rsidRPr="00507889" w:rsidRDefault="005909F5">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1C2F"/>
    <w:rsid w:val="000035F3"/>
    <w:rsid w:val="00007718"/>
    <w:rsid w:val="00010145"/>
    <w:rsid w:val="00010BAE"/>
    <w:rsid w:val="00014216"/>
    <w:rsid w:val="00014295"/>
    <w:rsid w:val="0001625B"/>
    <w:rsid w:val="000165E8"/>
    <w:rsid w:val="00017987"/>
    <w:rsid w:val="0002022E"/>
    <w:rsid w:val="00020CA2"/>
    <w:rsid w:val="00025119"/>
    <w:rsid w:val="00034C1E"/>
    <w:rsid w:val="000371A1"/>
    <w:rsid w:val="00037AE1"/>
    <w:rsid w:val="0004012A"/>
    <w:rsid w:val="000422CC"/>
    <w:rsid w:val="00042608"/>
    <w:rsid w:val="00042D1B"/>
    <w:rsid w:val="00045AC2"/>
    <w:rsid w:val="000468B9"/>
    <w:rsid w:val="00046D7A"/>
    <w:rsid w:val="00050992"/>
    <w:rsid w:val="00051E60"/>
    <w:rsid w:val="00053AE0"/>
    <w:rsid w:val="00053D85"/>
    <w:rsid w:val="0005588E"/>
    <w:rsid w:val="0006008E"/>
    <w:rsid w:val="0006343C"/>
    <w:rsid w:val="00065075"/>
    <w:rsid w:val="0006552A"/>
    <w:rsid w:val="000703BF"/>
    <w:rsid w:val="000706B8"/>
    <w:rsid w:val="00072045"/>
    <w:rsid w:val="000726E3"/>
    <w:rsid w:val="00073BEA"/>
    <w:rsid w:val="00074142"/>
    <w:rsid w:val="00074F55"/>
    <w:rsid w:val="0007603C"/>
    <w:rsid w:val="00083A52"/>
    <w:rsid w:val="00084883"/>
    <w:rsid w:val="000860C0"/>
    <w:rsid w:val="000901AA"/>
    <w:rsid w:val="000939E0"/>
    <w:rsid w:val="00094DD7"/>
    <w:rsid w:val="00095C96"/>
    <w:rsid w:val="000A1616"/>
    <w:rsid w:val="000A18A9"/>
    <w:rsid w:val="000A27D5"/>
    <w:rsid w:val="000A6390"/>
    <w:rsid w:val="000A65E0"/>
    <w:rsid w:val="000A78C4"/>
    <w:rsid w:val="000B294B"/>
    <w:rsid w:val="000B2DE3"/>
    <w:rsid w:val="000B5EBF"/>
    <w:rsid w:val="000B67F6"/>
    <w:rsid w:val="000C09A7"/>
    <w:rsid w:val="000C1A76"/>
    <w:rsid w:val="000C7B00"/>
    <w:rsid w:val="000D2837"/>
    <w:rsid w:val="000D472F"/>
    <w:rsid w:val="000D5756"/>
    <w:rsid w:val="000D6A3F"/>
    <w:rsid w:val="000E1C17"/>
    <w:rsid w:val="000E2E12"/>
    <w:rsid w:val="000E5C57"/>
    <w:rsid w:val="000E76D2"/>
    <w:rsid w:val="000F005C"/>
    <w:rsid w:val="000F0BAD"/>
    <w:rsid w:val="000F1C43"/>
    <w:rsid w:val="000F2FF0"/>
    <w:rsid w:val="000F5238"/>
    <w:rsid w:val="000F74AB"/>
    <w:rsid w:val="0010004F"/>
    <w:rsid w:val="00100FBE"/>
    <w:rsid w:val="00101DCF"/>
    <w:rsid w:val="001020B6"/>
    <w:rsid w:val="001060D0"/>
    <w:rsid w:val="00107198"/>
    <w:rsid w:val="00107445"/>
    <w:rsid w:val="00112591"/>
    <w:rsid w:val="00113459"/>
    <w:rsid w:val="00113504"/>
    <w:rsid w:val="00113984"/>
    <w:rsid w:val="00115186"/>
    <w:rsid w:val="0011730A"/>
    <w:rsid w:val="00117AFF"/>
    <w:rsid w:val="001235C4"/>
    <w:rsid w:val="00123ADE"/>
    <w:rsid w:val="00125A76"/>
    <w:rsid w:val="00126B24"/>
    <w:rsid w:val="00132F2F"/>
    <w:rsid w:val="00141BAC"/>
    <w:rsid w:val="00143677"/>
    <w:rsid w:val="00144D88"/>
    <w:rsid w:val="00145A04"/>
    <w:rsid w:val="00150467"/>
    <w:rsid w:val="00150624"/>
    <w:rsid w:val="001513C9"/>
    <w:rsid w:val="00151E2A"/>
    <w:rsid w:val="00161E32"/>
    <w:rsid w:val="001622D3"/>
    <w:rsid w:val="00162922"/>
    <w:rsid w:val="00163004"/>
    <w:rsid w:val="001641EC"/>
    <w:rsid w:val="00167B81"/>
    <w:rsid w:val="00170367"/>
    <w:rsid w:val="00172C9C"/>
    <w:rsid w:val="00180F94"/>
    <w:rsid w:val="00181D71"/>
    <w:rsid w:val="00191077"/>
    <w:rsid w:val="00197CF5"/>
    <w:rsid w:val="001A2B54"/>
    <w:rsid w:val="001A3AD4"/>
    <w:rsid w:val="001A43CA"/>
    <w:rsid w:val="001A47CB"/>
    <w:rsid w:val="001B07F4"/>
    <w:rsid w:val="001B1A3B"/>
    <w:rsid w:val="001B1AE3"/>
    <w:rsid w:val="001B434D"/>
    <w:rsid w:val="001C2D8A"/>
    <w:rsid w:val="001C403E"/>
    <w:rsid w:val="001C4716"/>
    <w:rsid w:val="001C53D3"/>
    <w:rsid w:val="001C5559"/>
    <w:rsid w:val="001C5F28"/>
    <w:rsid w:val="001C651B"/>
    <w:rsid w:val="001D4D29"/>
    <w:rsid w:val="001D5D33"/>
    <w:rsid w:val="001E0F56"/>
    <w:rsid w:val="001E5591"/>
    <w:rsid w:val="001E56B3"/>
    <w:rsid w:val="001E5784"/>
    <w:rsid w:val="001E71BD"/>
    <w:rsid w:val="001F4294"/>
    <w:rsid w:val="001F5E2E"/>
    <w:rsid w:val="001F6116"/>
    <w:rsid w:val="002037D9"/>
    <w:rsid w:val="0021191F"/>
    <w:rsid w:val="0021633B"/>
    <w:rsid w:val="00222DEF"/>
    <w:rsid w:val="0022336E"/>
    <w:rsid w:val="00225BB0"/>
    <w:rsid w:val="00226271"/>
    <w:rsid w:val="002335C6"/>
    <w:rsid w:val="00236E3A"/>
    <w:rsid w:val="00237253"/>
    <w:rsid w:val="002437FE"/>
    <w:rsid w:val="00243BFC"/>
    <w:rsid w:val="00245B50"/>
    <w:rsid w:val="0024759C"/>
    <w:rsid w:val="00252060"/>
    <w:rsid w:val="00254406"/>
    <w:rsid w:val="00254EE7"/>
    <w:rsid w:val="00256BAD"/>
    <w:rsid w:val="00261A60"/>
    <w:rsid w:val="002654C2"/>
    <w:rsid w:val="00266762"/>
    <w:rsid w:val="00270DD3"/>
    <w:rsid w:val="00280197"/>
    <w:rsid w:val="00281AA0"/>
    <w:rsid w:val="002845E1"/>
    <w:rsid w:val="00291085"/>
    <w:rsid w:val="0029213E"/>
    <w:rsid w:val="00296646"/>
    <w:rsid w:val="002966FA"/>
    <w:rsid w:val="002A3DF2"/>
    <w:rsid w:val="002A4079"/>
    <w:rsid w:val="002A57D3"/>
    <w:rsid w:val="002A63C8"/>
    <w:rsid w:val="002B6B5C"/>
    <w:rsid w:val="002B7FD7"/>
    <w:rsid w:val="002C1173"/>
    <w:rsid w:val="002C187E"/>
    <w:rsid w:val="002C2796"/>
    <w:rsid w:val="002C3218"/>
    <w:rsid w:val="002C3562"/>
    <w:rsid w:val="002C3897"/>
    <w:rsid w:val="002C6BB7"/>
    <w:rsid w:val="002D3CE7"/>
    <w:rsid w:val="002D758E"/>
    <w:rsid w:val="002D7B66"/>
    <w:rsid w:val="002E028E"/>
    <w:rsid w:val="002E2DB5"/>
    <w:rsid w:val="002E3646"/>
    <w:rsid w:val="002E648F"/>
    <w:rsid w:val="002F76AF"/>
    <w:rsid w:val="00300A57"/>
    <w:rsid w:val="003015DA"/>
    <w:rsid w:val="003018DF"/>
    <w:rsid w:val="00305E13"/>
    <w:rsid w:val="0030756D"/>
    <w:rsid w:val="00310230"/>
    <w:rsid w:val="00310E95"/>
    <w:rsid w:val="00311CAE"/>
    <w:rsid w:val="00313899"/>
    <w:rsid w:val="00316554"/>
    <w:rsid w:val="00322F67"/>
    <w:rsid w:val="00324FB1"/>
    <w:rsid w:val="00325951"/>
    <w:rsid w:val="003306E0"/>
    <w:rsid w:val="00331813"/>
    <w:rsid w:val="003329A3"/>
    <w:rsid w:val="00332B8F"/>
    <w:rsid w:val="00341A8C"/>
    <w:rsid w:val="003423A0"/>
    <w:rsid w:val="00342A55"/>
    <w:rsid w:val="00343C99"/>
    <w:rsid w:val="00343DB0"/>
    <w:rsid w:val="003444C9"/>
    <w:rsid w:val="00344B08"/>
    <w:rsid w:val="003465D9"/>
    <w:rsid w:val="00350531"/>
    <w:rsid w:val="003514EE"/>
    <w:rsid w:val="00351FB9"/>
    <w:rsid w:val="003527CC"/>
    <w:rsid w:val="0035315A"/>
    <w:rsid w:val="003536F8"/>
    <w:rsid w:val="00354A2A"/>
    <w:rsid w:val="00354BD1"/>
    <w:rsid w:val="00356CBE"/>
    <w:rsid w:val="003577B9"/>
    <w:rsid w:val="00357F16"/>
    <w:rsid w:val="0036092F"/>
    <w:rsid w:val="00364C74"/>
    <w:rsid w:val="00371A46"/>
    <w:rsid w:val="00372BA1"/>
    <w:rsid w:val="00376DE2"/>
    <w:rsid w:val="0038142E"/>
    <w:rsid w:val="003839FD"/>
    <w:rsid w:val="0038521C"/>
    <w:rsid w:val="003875F7"/>
    <w:rsid w:val="0038799A"/>
    <w:rsid w:val="00390A09"/>
    <w:rsid w:val="00392F50"/>
    <w:rsid w:val="00393322"/>
    <w:rsid w:val="00397CC5"/>
    <w:rsid w:val="003A20E2"/>
    <w:rsid w:val="003A2477"/>
    <w:rsid w:val="003A2718"/>
    <w:rsid w:val="003A2B64"/>
    <w:rsid w:val="003A32EF"/>
    <w:rsid w:val="003A35C6"/>
    <w:rsid w:val="003A5EDA"/>
    <w:rsid w:val="003A74C1"/>
    <w:rsid w:val="003A74F5"/>
    <w:rsid w:val="003B2216"/>
    <w:rsid w:val="003B2492"/>
    <w:rsid w:val="003B2584"/>
    <w:rsid w:val="003B3124"/>
    <w:rsid w:val="003B3A95"/>
    <w:rsid w:val="003B6AB4"/>
    <w:rsid w:val="003B6BFB"/>
    <w:rsid w:val="003C1344"/>
    <w:rsid w:val="003C4255"/>
    <w:rsid w:val="003D1233"/>
    <w:rsid w:val="003D274C"/>
    <w:rsid w:val="003E2208"/>
    <w:rsid w:val="003E220C"/>
    <w:rsid w:val="003E23F9"/>
    <w:rsid w:val="003E4C71"/>
    <w:rsid w:val="003E64A2"/>
    <w:rsid w:val="003E7697"/>
    <w:rsid w:val="003E7765"/>
    <w:rsid w:val="003F3C37"/>
    <w:rsid w:val="003F3FD0"/>
    <w:rsid w:val="004036FE"/>
    <w:rsid w:val="004044E9"/>
    <w:rsid w:val="00405869"/>
    <w:rsid w:val="00410940"/>
    <w:rsid w:val="00415D3F"/>
    <w:rsid w:val="004168EA"/>
    <w:rsid w:val="00416CE4"/>
    <w:rsid w:val="004203A5"/>
    <w:rsid w:val="00421D92"/>
    <w:rsid w:val="00422193"/>
    <w:rsid w:val="004232FE"/>
    <w:rsid w:val="004238A9"/>
    <w:rsid w:val="0042549F"/>
    <w:rsid w:val="00433A66"/>
    <w:rsid w:val="0043698F"/>
    <w:rsid w:val="004429B1"/>
    <w:rsid w:val="00444D67"/>
    <w:rsid w:val="00446AD2"/>
    <w:rsid w:val="004470D8"/>
    <w:rsid w:val="00450587"/>
    <w:rsid w:val="0045089F"/>
    <w:rsid w:val="00462E55"/>
    <w:rsid w:val="0046413D"/>
    <w:rsid w:val="00466DC0"/>
    <w:rsid w:val="00471711"/>
    <w:rsid w:val="00475E50"/>
    <w:rsid w:val="00476248"/>
    <w:rsid w:val="00481764"/>
    <w:rsid w:val="0048499B"/>
    <w:rsid w:val="004907F6"/>
    <w:rsid w:val="00490BB2"/>
    <w:rsid w:val="00490C18"/>
    <w:rsid w:val="0049213E"/>
    <w:rsid w:val="00494B76"/>
    <w:rsid w:val="004966DC"/>
    <w:rsid w:val="00497A32"/>
    <w:rsid w:val="004A092E"/>
    <w:rsid w:val="004A26A4"/>
    <w:rsid w:val="004A725E"/>
    <w:rsid w:val="004B1939"/>
    <w:rsid w:val="004B496B"/>
    <w:rsid w:val="004B5130"/>
    <w:rsid w:val="004B5C4C"/>
    <w:rsid w:val="004B5EFE"/>
    <w:rsid w:val="004B7E67"/>
    <w:rsid w:val="004C0AA1"/>
    <w:rsid w:val="004C372A"/>
    <w:rsid w:val="004C4759"/>
    <w:rsid w:val="004C594B"/>
    <w:rsid w:val="004C5E01"/>
    <w:rsid w:val="004D5603"/>
    <w:rsid w:val="004E0F1F"/>
    <w:rsid w:val="004E5F27"/>
    <w:rsid w:val="004E64AE"/>
    <w:rsid w:val="004F1650"/>
    <w:rsid w:val="004F201A"/>
    <w:rsid w:val="004F29DC"/>
    <w:rsid w:val="004F4B54"/>
    <w:rsid w:val="004F5EC6"/>
    <w:rsid w:val="00500B06"/>
    <w:rsid w:val="00503C20"/>
    <w:rsid w:val="00507889"/>
    <w:rsid w:val="005106C2"/>
    <w:rsid w:val="00511729"/>
    <w:rsid w:val="00513ADD"/>
    <w:rsid w:val="005159F9"/>
    <w:rsid w:val="005200F5"/>
    <w:rsid w:val="00520328"/>
    <w:rsid w:val="0052574B"/>
    <w:rsid w:val="00526D8D"/>
    <w:rsid w:val="00532315"/>
    <w:rsid w:val="00533B1E"/>
    <w:rsid w:val="0054129D"/>
    <w:rsid w:val="0054532F"/>
    <w:rsid w:val="00546715"/>
    <w:rsid w:val="005518A7"/>
    <w:rsid w:val="00553566"/>
    <w:rsid w:val="00556F66"/>
    <w:rsid w:val="005653EB"/>
    <w:rsid w:val="005660B5"/>
    <w:rsid w:val="00566C7D"/>
    <w:rsid w:val="00567B1D"/>
    <w:rsid w:val="00572802"/>
    <w:rsid w:val="00573E83"/>
    <w:rsid w:val="00574DF3"/>
    <w:rsid w:val="0057685E"/>
    <w:rsid w:val="00577293"/>
    <w:rsid w:val="0058081C"/>
    <w:rsid w:val="00583A63"/>
    <w:rsid w:val="00583F6B"/>
    <w:rsid w:val="00584264"/>
    <w:rsid w:val="0058574F"/>
    <w:rsid w:val="00586F30"/>
    <w:rsid w:val="005909F5"/>
    <w:rsid w:val="00591762"/>
    <w:rsid w:val="005923B7"/>
    <w:rsid w:val="005934BB"/>
    <w:rsid w:val="00596995"/>
    <w:rsid w:val="005A006F"/>
    <w:rsid w:val="005A1451"/>
    <w:rsid w:val="005A203B"/>
    <w:rsid w:val="005A280D"/>
    <w:rsid w:val="005A4152"/>
    <w:rsid w:val="005A64C7"/>
    <w:rsid w:val="005A75B7"/>
    <w:rsid w:val="005B1253"/>
    <w:rsid w:val="005B4229"/>
    <w:rsid w:val="005B4F69"/>
    <w:rsid w:val="005B7771"/>
    <w:rsid w:val="005C6A8C"/>
    <w:rsid w:val="005D3D64"/>
    <w:rsid w:val="005D737B"/>
    <w:rsid w:val="005E1D59"/>
    <w:rsid w:val="005E2F6D"/>
    <w:rsid w:val="005E3B2A"/>
    <w:rsid w:val="005E54F6"/>
    <w:rsid w:val="005E64C5"/>
    <w:rsid w:val="005F55C7"/>
    <w:rsid w:val="005F5BFE"/>
    <w:rsid w:val="005F6B07"/>
    <w:rsid w:val="00601381"/>
    <w:rsid w:val="0060201F"/>
    <w:rsid w:val="00602245"/>
    <w:rsid w:val="00602DEE"/>
    <w:rsid w:val="00603DF3"/>
    <w:rsid w:val="00607764"/>
    <w:rsid w:val="006116D8"/>
    <w:rsid w:val="006140A4"/>
    <w:rsid w:val="00614A3F"/>
    <w:rsid w:val="006156F6"/>
    <w:rsid w:val="00616F28"/>
    <w:rsid w:val="0061797F"/>
    <w:rsid w:val="006236FA"/>
    <w:rsid w:val="006253CA"/>
    <w:rsid w:val="00626212"/>
    <w:rsid w:val="00631F9C"/>
    <w:rsid w:val="006350CC"/>
    <w:rsid w:val="0063642F"/>
    <w:rsid w:val="00636522"/>
    <w:rsid w:val="006379B7"/>
    <w:rsid w:val="00640206"/>
    <w:rsid w:val="00645AA4"/>
    <w:rsid w:val="006466E5"/>
    <w:rsid w:val="0065197B"/>
    <w:rsid w:val="0065327F"/>
    <w:rsid w:val="00654550"/>
    <w:rsid w:val="006652B6"/>
    <w:rsid w:val="00667C33"/>
    <w:rsid w:val="0067551C"/>
    <w:rsid w:val="00681B62"/>
    <w:rsid w:val="00682B38"/>
    <w:rsid w:val="0068586D"/>
    <w:rsid w:val="00685A2A"/>
    <w:rsid w:val="006906EB"/>
    <w:rsid w:val="006928A4"/>
    <w:rsid w:val="00692934"/>
    <w:rsid w:val="00692AEF"/>
    <w:rsid w:val="0069361B"/>
    <w:rsid w:val="00694A29"/>
    <w:rsid w:val="00695682"/>
    <w:rsid w:val="00695DED"/>
    <w:rsid w:val="00697AFA"/>
    <w:rsid w:val="00697E10"/>
    <w:rsid w:val="006A16CD"/>
    <w:rsid w:val="006A1C42"/>
    <w:rsid w:val="006A30A9"/>
    <w:rsid w:val="006A62F0"/>
    <w:rsid w:val="006A6879"/>
    <w:rsid w:val="006A71EF"/>
    <w:rsid w:val="006A7F6A"/>
    <w:rsid w:val="006B0CBE"/>
    <w:rsid w:val="006B1097"/>
    <w:rsid w:val="006B61E1"/>
    <w:rsid w:val="006B6297"/>
    <w:rsid w:val="006C45A4"/>
    <w:rsid w:val="006C5496"/>
    <w:rsid w:val="006C5A85"/>
    <w:rsid w:val="006C6051"/>
    <w:rsid w:val="006D1C26"/>
    <w:rsid w:val="006E141E"/>
    <w:rsid w:val="006E1D8B"/>
    <w:rsid w:val="006E5A43"/>
    <w:rsid w:val="006E6D73"/>
    <w:rsid w:val="006F00E2"/>
    <w:rsid w:val="006F76F1"/>
    <w:rsid w:val="00700BF8"/>
    <w:rsid w:val="0070220C"/>
    <w:rsid w:val="0070360F"/>
    <w:rsid w:val="00706897"/>
    <w:rsid w:val="007068CC"/>
    <w:rsid w:val="007108C7"/>
    <w:rsid w:val="00712F46"/>
    <w:rsid w:val="007174B3"/>
    <w:rsid w:val="00724F74"/>
    <w:rsid w:val="0072741F"/>
    <w:rsid w:val="00742443"/>
    <w:rsid w:val="00742FCE"/>
    <w:rsid w:val="0074703D"/>
    <w:rsid w:val="00751667"/>
    <w:rsid w:val="007527E9"/>
    <w:rsid w:val="00752FE0"/>
    <w:rsid w:val="00754E31"/>
    <w:rsid w:val="00754E62"/>
    <w:rsid w:val="00755EB4"/>
    <w:rsid w:val="007575AF"/>
    <w:rsid w:val="00757670"/>
    <w:rsid w:val="00760EE0"/>
    <w:rsid w:val="00761A2B"/>
    <w:rsid w:val="0076577A"/>
    <w:rsid w:val="00766743"/>
    <w:rsid w:val="00767AF9"/>
    <w:rsid w:val="007719C7"/>
    <w:rsid w:val="00772834"/>
    <w:rsid w:val="007757C6"/>
    <w:rsid w:val="00775A2E"/>
    <w:rsid w:val="0077756B"/>
    <w:rsid w:val="007801BC"/>
    <w:rsid w:val="00783811"/>
    <w:rsid w:val="0078769A"/>
    <w:rsid w:val="007902FC"/>
    <w:rsid w:val="0079113C"/>
    <w:rsid w:val="007916D5"/>
    <w:rsid w:val="00795E58"/>
    <w:rsid w:val="007A0340"/>
    <w:rsid w:val="007A0798"/>
    <w:rsid w:val="007A2158"/>
    <w:rsid w:val="007A3449"/>
    <w:rsid w:val="007A63C5"/>
    <w:rsid w:val="007A693A"/>
    <w:rsid w:val="007A7A6A"/>
    <w:rsid w:val="007A7E57"/>
    <w:rsid w:val="007B1097"/>
    <w:rsid w:val="007B1A7A"/>
    <w:rsid w:val="007B301A"/>
    <w:rsid w:val="007B36B4"/>
    <w:rsid w:val="007C0D1C"/>
    <w:rsid w:val="007C5879"/>
    <w:rsid w:val="007C627A"/>
    <w:rsid w:val="007C7B02"/>
    <w:rsid w:val="007C7B3E"/>
    <w:rsid w:val="007D020C"/>
    <w:rsid w:val="007D3740"/>
    <w:rsid w:val="007D4FCF"/>
    <w:rsid w:val="007D5ABB"/>
    <w:rsid w:val="007D7D31"/>
    <w:rsid w:val="007E179F"/>
    <w:rsid w:val="007E3C49"/>
    <w:rsid w:val="007E7CA5"/>
    <w:rsid w:val="007F194B"/>
    <w:rsid w:val="007F3FA3"/>
    <w:rsid w:val="007F5DED"/>
    <w:rsid w:val="007F7B13"/>
    <w:rsid w:val="00804AFD"/>
    <w:rsid w:val="008064CE"/>
    <w:rsid w:val="00806654"/>
    <w:rsid w:val="00812E8C"/>
    <w:rsid w:val="00814DAE"/>
    <w:rsid w:val="008163EE"/>
    <w:rsid w:val="00816635"/>
    <w:rsid w:val="008168F1"/>
    <w:rsid w:val="00816A3A"/>
    <w:rsid w:val="00817CEE"/>
    <w:rsid w:val="00821967"/>
    <w:rsid w:val="00821A96"/>
    <w:rsid w:val="00826A11"/>
    <w:rsid w:val="008271DD"/>
    <w:rsid w:val="00827E7A"/>
    <w:rsid w:val="008305BB"/>
    <w:rsid w:val="008308DB"/>
    <w:rsid w:val="00831FA3"/>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665AA"/>
    <w:rsid w:val="00872C46"/>
    <w:rsid w:val="00884707"/>
    <w:rsid w:val="008879C4"/>
    <w:rsid w:val="00890BCF"/>
    <w:rsid w:val="0089295A"/>
    <w:rsid w:val="008929E2"/>
    <w:rsid w:val="008944CD"/>
    <w:rsid w:val="008A1E29"/>
    <w:rsid w:val="008A29BD"/>
    <w:rsid w:val="008A5EAE"/>
    <w:rsid w:val="008A6D05"/>
    <w:rsid w:val="008A74FD"/>
    <w:rsid w:val="008B0A65"/>
    <w:rsid w:val="008B2068"/>
    <w:rsid w:val="008B2C97"/>
    <w:rsid w:val="008B70A2"/>
    <w:rsid w:val="008C2911"/>
    <w:rsid w:val="008C3580"/>
    <w:rsid w:val="008C3A52"/>
    <w:rsid w:val="008C7FB8"/>
    <w:rsid w:val="008D3F07"/>
    <w:rsid w:val="008D5F6B"/>
    <w:rsid w:val="008D7CDD"/>
    <w:rsid w:val="008E19CE"/>
    <w:rsid w:val="008E3B41"/>
    <w:rsid w:val="008E51C7"/>
    <w:rsid w:val="008E5C50"/>
    <w:rsid w:val="008E6EDD"/>
    <w:rsid w:val="008F022B"/>
    <w:rsid w:val="008F0DAC"/>
    <w:rsid w:val="008F47C1"/>
    <w:rsid w:val="008F6125"/>
    <w:rsid w:val="0090114A"/>
    <w:rsid w:val="0090183E"/>
    <w:rsid w:val="00904D7D"/>
    <w:rsid w:val="0090641D"/>
    <w:rsid w:val="00907BC3"/>
    <w:rsid w:val="00914C01"/>
    <w:rsid w:val="00917918"/>
    <w:rsid w:val="00923D30"/>
    <w:rsid w:val="00926D33"/>
    <w:rsid w:val="00927315"/>
    <w:rsid w:val="0092750A"/>
    <w:rsid w:val="009326EF"/>
    <w:rsid w:val="00932903"/>
    <w:rsid w:val="0093526E"/>
    <w:rsid w:val="009451BC"/>
    <w:rsid w:val="00947620"/>
    <w:rsid w:val="00947BA9"/>
    <w:rsid w:val="009502E4"/>
    <w:rsid w:val="00950960"/>
    <w:rsid w:val="009510EF"/>
    <w:rsid w:val="0095307E"/>
    <w:rsid w:val="00955146"/>
    <w:rsid w:val="00956671"/>
    <w:rsid w:val="009611D4"/>
    <w:rsid w:val="0096124D"/>
    <w:rsid w:val="00962C3D"/>
    <w:rsid w:val="00963D45"/>
    <w:rsid w:val="0096705A"/>
    <w:rsid w:val="00970F2A"/>
    <w:rsid w:val="00970FD6"/>
    <w:rsid w:val="00971E42"/>
    <w:rsid w:val="00974D59"/>
    <w:rsid w:val="00974F5A"/>
    <w:rsid w:val="009751D7"/>
    <w:rsid w:val="00977BA5"/>
    <w:rsid w:val="00977BC9"/>
    <w:rsid w:val="00982927"/>
    <w:rsid w:val="00982B92"/>
    <w:rsid w:val="00984BD9"/>
    <w:rsid w:val="00990DA0"/>
    <w:rsid w:val="00992CD8"/>
    <w:rsid w:val="009948F7"/>
    <w:rsid w:val="009959F2"/>
    <w:rsid w:val="00995F4D"/>
    <w:rsid w:val="0099749E"/>
    <w:rsid w:val="00997AC3"/>
    <w:rsid w:val="009A2788"/>
    <w:rsid w:val="009B0DD6"/>
    <w:rsid w:val="009B22E6"/>
    <w:rsid w:val="009B248F"/>
    <w:rsid w:val="009B4DFE"/>
    <w:rsid w:val="009C049E"/>
    <w:rsid w:val="009C19B6"/>
    <w:rsid w:val="009D2AF7"/>
    <w:rsid w:val="009D35D0"/>
    <w:rsid w:val="009D4558"/>
    <w:rsid w:val="009D65F9"/>
    <w:rsid w:val="009E0A17"/>
    <w:rsid w:val="009E24CD"/>
    <w:rsid w:val="009E2D48"/>
    <w:rsid w:val="009E3877"/>
    <w:rsid w:val="009E49E6"/>
    <w:rsid w:val="009E566C"/>
    <w:rsid w:val="009E62BA"/>
    <w:rsid w:val="009E7155"/>
    <w:rsid w:val="00A0180E"/>
    <w:rsid w:val="00A030D9"/>
    <w:rsid w:val="00A03882"/>
    <w:rsid w:val="00A044A3"/>
    <w:rsid w:val="00A06B1D"/>
    <w:rsid w:val="00A13654"/>
    <w:rsid w:val="00A159D4"/>
    <w:rsid w:val="00A1683B"/>
    <w:rsid w:val="00A169FE"/>
    <w:rsid w:val="00A2077D"/>
    <w:rsid w:val="00A22432"/>
    <w:rsid w:val="00A2795E"/>
    <w:rsid w:val="00A35C99"/>
    <w:rsid w:val="00A35CB8"/>
    <w:rsid w:val="00A40FB0"/>
    <w:rsid w:val="00A41025"/>
    <w:rsid w:val="00A43694"/>
    <w:rsid w:val="00A43C45"/>
    <w:rsid w:val="00A449B8"/>
    <w:rsid w:val="00A4513B"/>
    <w:rsid w:val="00A452BF"/>
    <w:rsid w:val="00A5066E"/>
    <w:rsid w:val="00A52FED"/>
    <w:rsid w:val="00A54C34"/>
    <w:rsid w:val="00A55138"/>
    <w:rsid w:val="00A61728"/>
    <w:rsid w:val="00A6393A"/>
    <w:rsid w:val="00A63EC8"/>
    <w:rsid w:val="00A64450"/>
    <w:rsid w:val="00A64FB8"/>
    <w:rsid w:val="00A65E3C"/>
    <w:rsid w:val="00A65F1C"/>
    <w:rsid w:val="00A66252"/>
    <w:rsid w:val="00A73E32"/>
    <w:rsid w:val="00A749A4"/>
    <w:rsid w:val="00A753AB"/>
    <w:rsid w:val="00A775D8"/>
    <w:rsid w:val="00A85808"/>
    <w:rsid w:val="00A8770E"/>
    <w:rsid w:val="00A93031"/>
    <w:rsid w:val="00A93F50"/>
    <w:rsid w:val="00A9467A"/>
    <w:rsid w:val="00A94984"/>
    <w:rsid w:val="00A9636B"/>
    <w:rsid w:val="00AA0062"/>
    <w:rsid w:val="00AA227B"/>
    <w:rsid w:val="00AB0181"/>
    <w:rsid w:val="00AB038B"/>
    <w:rsid w:val="00AB1CAB"/>
    <w:rsid w:val="00AB550C"/>
    <w:rsid w:val="00AB560A"/>
    <w:rsid w:val="00AB6495"/>
    <w:rsid w:val="00AB6E49"/>
    <w:rsid w:val="00AB7725"/>
    <w:rsid w:val="00AC0C7E"/>
    <w:rsid w:val="00AC3141"/>
    <w:rsid w:val="00AC3F4E"/>
    <w:rsid w:val="00AC58BD"/>
    <w:rsid w:val="00AC778C"/>
    <w:rsid w:val="00AD19E6"/>
    <w:rsid w:val="00AD279D"/>
    <w:rsid w:val="00AD6F04"/>
    <w:rsid w:val="00AD7116"/>
    <w:rsid w:val="00AD7224"/>
    <w:rsid w:val="00AE6BDA"/>
    <w:rsid w:val="00AF181E"/>
    <w:rsid w:val="00AF2BE8"/>
    <w:rsid w:val="00AF4B86"/>
    <w:rsid w:val="00AF5C7C"/>
    <w:rsid w:val="00AF74CB"/>
    <w:rsid w:val="00AF7961"/>
    <w:rsid w:val="00B00AAB"/>
    <w:rsid w:val="00B00B18"/>
    <w:rsid w:val="00B00B41"/>
    <w:rsid w:val="00B0190F"/>
    <w:rsid w:val="00B0215E"/>
    <w:rsid w:val="00B040EC"/>
    <w:rsid w:val="00B05CE3"/>
    <w:rsid w:val="00B062B6"/>
    <w:rsid w:val="00B076D6"/>
    <w:rsid w:val="00B121FD"/>
    <w:rsid w:val="00B12B4A"/>
    <w:rsid w:val="00B17715"/>
    <w:rsid w:val="00B21CFA"/>
    <w:rsid w:val="00B22562"/>
    <w:rsid w:val="00B248E8"/>
    <w:rsid w:val="00B3219A"/>
    <w:rsid w:val="00B3317E"/>
    <w:rsid w:val="00B3356B"/>
    <w:rsid w:val="00B344FE"/>
    <w:rsid w:val="00B3699B"/>
    <w:rsid w:val="00B43819"/>
    <w:rsid w:val="00B45093"/>
    <w:rsid w:val="00B45F52"/>
    <w:rsid w:val="00B47642"/>
    <w:rsid w:val="00B50DAD"/>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487A"/>
    <w:rsid w:val="00B85BD8"/>
    <w:rsid w:val="00B862A4"/>
    <w:rsid w:val="00B87AF1"/>
    <w:rsid w:val="00B91284"/>
    <w:rsid w:val="00B93B4B"/>
    <w:rsid w:val="00B94466"/>
    <w:rsid w:val="00B958B8"/>
    <w:rsid w:val="00B977C5"/>
    <w:rsid w:val="00BA047C"/>
    <w:rsid w:val="00BA326C"/>
    <w:rsid w:val="00BA6BBE"/>
    <w:rsid w:val="00BB007C"/>
    <w:rsid w:val="00BB1BD9"/>
    <w:rsid w:val="00BB2E97"/>
    <w:rsid w:val="00BB3099"/>
    <w:rsid w:val="00BB5475"/>
    <w:rsid w:val="00BB5BC7"/>
    <w:rsid w:val="00BC0EFB"/>
    <w:rsid w:val="00BC26AC"/>
    <w:rsid w:val="00BC6F01"/>
    <w:rsid w:val="00BC6FF6"/>
    <w:rsid w:val="00BC7C0F"/>
    <w:rsid w:val="00BC7E64"/>
    <w:rsid w:val="00BD03D1"/>
    <w:rsid w:val="00BD0659"/>
    <w:rsid w:val="00BD3537"/>
    <w:rsid w:val="00BD4F3C"/>
    <w:rsid w:val="00BE0256"/>
    <w:rsid w:val="00BE452D"/>
    <w:rsid w:val="00BE5BA9"/>
    <w:rsid w:val="00BE7D9A"/>
    <w:rsid w:val="00BF44A2"/>
    <w:rsid w:val="00BF53D7"/>
    <w:rsid w:val="00C020E6"/>
    <w:rsid w:val="00C022E0"/>
    <w:rsid w:val="00C037D7"/>
    <w:rsid w:val="00C04531"/>
    <w:rsid w:val="00C0727F"/>
    <w:rsid w:val="00C11438"/>
    <w:rsid w:val="00C11F8D"/>
    <w:rsid w:val="00C16B05"/>
    <w:rsid w:val="00C17B16"/>
    <w:rsid w:val="00C20628"/>
    <w:rsid w:val="00C21AAD"/>
    <w:rsid w:val="00C311FF"/>
    <w:rsid w:val="00C32522"/>
    <w:rsid w:val="00C32663"/>
    <w:rsid w:val="00C345E3"/>
    <w:rsid w:val="00C422B3"/>
    <w:rsid w:val="00C42A86"/>
    <w:rsid w:val="00C44533"/>
    <w:rsid w:val="00C45060"/>
    <w:rsid w:val="00C46210"/>
    <w:rsid w:val="00C51A14"/>
    <w:rsid w:val="00C53234"/>
    <w:rsid w:val="00C551E1"/>
    <w:rsid w:val="00C5543F"/>
    <w:rsid w:val="00C6116C"/>
    <w:rsid w:val="00C62E2E"/>
    <w:rsid w:val="00C66179"/>
    <w:rsid w:val="00C676F5"/>
    <w:rsid w:val="00C73544"/>
    <w:rsid w:val="00C74BED"/>
    <w:rsid w:val="00C84525"/>
    <w:rsid w:val="00C84921"/>
    <w:rsid w:val="00C91E70"/>
    <w:rsid w:val="00C9409F"/>
    <w:rsid w:val="00C95373"/>
    <w:rsid w:val="00C969D6"/>
    <w:rsid w:val="00C97587"/>
    <w:rsid w:val="00CA302C"/>
    <w:rsid w:val="00CA3A26"/>
    <w:rsid w:val="00CA4713"/>
    <w:rsid w:val="00CA7C9A"/>
    <w:rsid w:val="00CA7DD6"/>
    <w:rsid w:val="00CB0939"/>
    <w:rsid w:val="00CB178B"/>
    <w:rsid w:val="00CB4DD5"/>
    <w:rsid w:val="00CB6CF0"/>
    <w:rsid w:val="00CB6EA6"/>
    <w:rsid w:val="00CC10AD"/>
    <w:rsid w:val="00CC494A"/>
    <w:rsid w:val="00CC790A"/>
    <w:rsid w:val="00CD2469"/>
    <w:rsid w:val="00CD2C29"/>
    <w:rsid w:val="00CE0E77"/>
    <w:rsid w:val="00CE3E0B"/>
    <w:rsid w:val="00CE5748"/>
    <w:rsid w:val="00CE61ED"/>
    <w:rsid w:val="00CE6DDA"/>
    <w:rsid w:val="00CE7924"/>
    <w:rsid w:val="00CF0603"/>
    <w:rsid w:val="00CF1657"/>
    <w:rsid w:val="00CF2371"/>
    <w:rsid w:val="00CF276E"/>
    <w:rsid w:val="00CF596F"/>
    <w:rsid w:val="00D01090"/>
    <w:rsid w:val="00D01591"/>
    <w:rsid w:val="00D01903"/>
    <w:rsid w:val="00D0223E"/>
    <w:rsid w:val="00D030A3"/>
    <w:rsid w:val="00D04A2D"/>
    <w:rsid w:val="00D1381A"/>
    <w:rsid w:val="00D14428"/>
    <w:rsid w:val="00D16ADA"/>
    <w:rsid w:val="00D16DC5"/>
    <w:rsid w:val="00D2126C"/>
    <w:rsid w:val="00D21373"/>
    <w:rsid w:val="00D226C8"/>
    <w:rsid w:val="00D23C26"/>
    <w:rsid w:val="00D26265"/>
    <w:rsid w:val="00D267A2"/>
    <w:rsid w:val="00D311DE"/>
    <w:rsid w:val="00D317F8"/>
    <w:rsid w:val="00D31922"/>
    <w:rsid w:val="00D32C0E"/>
    <w:rsid w:val="00D342CF"/>
    <w:rsid w:val="00D35D0D"/>
    <w:rsid w:val="00D3701C"/>
    <w:rsid w:val="00D457A9"/>
    <w:rsid w:val="00D46EAE"/>
    <w:rsid w:val="00D4745F"/>
    <w:rsid w:val="00D600CD"/>
    <w:rsid w:val="00D611F9"/>
    <w:rsid w:val="00D62D4C"/>
    <w:rsid w:val="00D64E29"/>
    <w:rsid w:val="00D73883"/>
    <w:rsid w:val="00D7653B"/>
    <w:rsid w:val="00D76C52"/>
    <w:rsid w:val="00D822B2"/>
    <w:rsid w:val="00D9136B"/>
    <w:rsid w:val="00D91CB2"/>
    <w:rsid w:val="00D927AD"/>
    <w:rsid w:val="00D94AE8"/>
    <w:rsid w:val="00D95B2B"/>
    <w:rsid w:val="00D97AA2"/>
    <w:rsid w:val="00DA0900"/>
    <w:rsid w:val="00DA5602"/>
    <w:rsid w:val="00DB135D"/>
    <w:rsid w:val="00DB545D"/>
    <w:rsid w:val="00DC1516"/>
    <w:rsid w:val="00DC352E"/>
    <w:rsid w:val="00DC3B2E"/>
    <w:rsid w:val="00DC4FCF"/>
    <w:rsid w:val="00DD153D"/>
    <w:rsid w:val="00DD64E9"/>
    <w:rsid w:val="00DD6965"/>
    <w:rsid w:val="00DD6C03"/>
    <w:rsid w:val="00DD6DD3"/>
    <w:rsid w:val="00DD7DC5"/>
    <w:rsid w:val="00DE3D5A"/>
    <w:rsid w:val="00DE4D5A"/>
    <w:rsid w:val="00DF1552"/>
    <w:rsid w:val="00DF2E8C"/>
    <w:rsid w:val="00DF4118"/>
    <w:rsid w:val="00DF69E2"/>
    <w:rsid w:val="00E01E18"/>
    <w:rsid w:val="00E05589"/>
    <w:rsid w:val="00E10840"/>
    <w:rsid w:val="00E11A77"/>
    <w:rsid w:val="00E1645F"/>
    <w:rsid w:val="00E168CA"/>
    <w:rsid w:val="00E21910"/>
    <w:rsid w:val="00E23AFD"/>
    <w:rsid w:val="00E3381D"/>
    <w:rsid w:val="00E347A0"/>
    <w:rsid w:val="00E4407A"/>
    <w:rsid w:val="00E457A2"/>
    <w:rsid w:val="00E52CC0"/>
    <w:rsid w:val="00E61694"/>
    <w:rsid w:val="00E63DDD"/>
    <w:rsid w:val="00E646AC"/>
    <w:rsid w:val="00E66067"/>
    <w:rsid w:val="00E72953"/>
    <w:rsid w:val="00E7506C"/>
    <w:rsid w:val="00E757EC"/>
    <w:rsid w:val="00E75CD0"/>
    <w:rsid w:val="00E7609A"/>
    <w:rsid w:val="00E77DB9"/>
    <w:rsid w:val="00E82A0C"/>
    <w:rsid w:val="00E82EB4"/>
    <w:rsid w:val="00E847F7"/>
    <w:rsid w:val="00E84DB4"/>
    <w:rsid w:val="00E87392"/>
    <w:rsid w:val="00E91579"/>
    <w:rsid w:val="00E91A8D"/>
    <w:rsid w:val="00E938E2"/>
    <w:rsid w:val="00E94AA6"/>
    <w:rsid w:val="00E95299"/>
    <w:rsid w:val="00E95A5A"/>
    <w:rsid w:val="00E966F5"/>
    <w:rsid w:val="00E97429"/>
    <w:rsid w:val="00E974BC"/>
    <w:rsid w:val="00E97F2E"/>
    <w:rsid w:val="00EA08FC"/>
    <w:rsid w:val="00EA1B2B"/>
    <w:rsid w:val="00EA3E60"/>
    <w:rsid w:val="00EA53BC"/>
    <w:rsid w:val="00EA5CF6"/>
    <w:rsid w:val="00EA6CE3"/>
    <w:rsid w:val="00EB06AB"/>
    <w:rsid w:val="00EB133C"/>
    <w:rsid w:val="00EB53A5"/>
    <w:rsid w:val="00EB772E"/>
    <w:rsid w:val="00EB79AD"/>
    <w:rsid w:val="00EC0479"/>
    <w:rsid w:val="00EC36F8"/>
    <w:rsid w:val="00ED1D33"/>
    <w:rsid w:val="00ED212E"/>
    <w:rsid w:val="00ED7F59"/>
    <w:rsid w:val="00EF30DA"/>
    <w:rsid w:val="00EF33F5"/>
    <w:rsid w:val="00EF3950"/>
    <w:rsid w:val="00EF3A5C"/>
    <w:rsid w:val="00EF58F9"/>
    <w:rsid w:val="00EF648D"/>
    <w:rsid w:val="00F008EE"/>
    <w:rsid w:val="00F027F8"/>
    <w:rsid w:val="00F04F74"/>
    <w:rsid w:val="00F065A8"/>
    <w:rsid w:val="00F073ED"/>
    <w:rsid w:val="00F075CF"/>
    <w:rsid w:val="00F11B13"/>
    <w:rsid w:val="00F13C99"/>
    <w:rsid w:val="00F148A0"/>
    <w:rsid w:val="00F1491A"/>
    <w:rsid w:val="00F22834"/>
    <w:rsid w:val="00F2350E"/>
    <w:rsid w:val="00F235E3"/>
    <w:rsid w:val="00F24358"/>
    <w:rsid w:val="00F247EA"/>
    <w:rsid w:val="00F317D2"/>
    <w:rsid w:val="00F3273C"/>
    <w:rsid w:val="00F32996"/>
    <w:rsid w:val="00F32AA2"/>
    <w:rsid w:val="00F356E8"/>
    <w:rsid w:val="00F37261"/>
    <w:rsid w:val="00F424B5"/>
    <w:rsid w:val="00F440C4"/>
    <w:rsid w:val="00F50134"/>
    <w:rsid w:val="00F56FAC"/>
    <w:rsid w:val="00F570A5"/>
    <w:rsid w:val="00F57BDB"/>
    <w:rsid w:val="00F57F86"/>
    <w:rsid w:val="00F64931"/>
    <w:rsid w:val="00F66683"/>
    <w:rsid w:val="00F73387"/>
    <w:rsid w:val="00F831AD"/>
    <w:rsid w:val="00F83903"/>
    <w:rsid w:val="00F83948"/>
    <w:rsid w:val="00F84C1C"/>
    <w:rsid w:val="00F8655E"/>
    <w:rsid w:val="00F86A56"/>
    <w:rsid w:val="00F87571"/>
    <w:rsid w:val="00F94AF7"/>
    <w:rsid w:val="00F95C09"/>
    <w:rsid w:val="00FA2576"/>
    <w:rsid w:val="00FA4490"/>
    <w:rsid w:val="00FA56C0"/>
    <w:rsid w:val="00FB0A76"/>
    <w:rsid w:val="00FB3B4E"/>
    <w:rsid w:val="00FB4BC6"/>
    <w:rsid w:val="00FB7BA5"/>
    <w:rsid w:val="00FC2FBD"/>
    <w:rsid w:val="00FC33F7"/>
    <w:rsid w:val="00FC4028"/>
    <w:rsid w:val="00FC4643"/>
    <w:rsid w:val="00FD1D0E"/>
    <w:rsid w:val="00FD323A"/>
    <w:rsid w:val="00FE08BF"/>
    <w:rsid w:val="00FE0D30"/>
    <w:rsid w:val="00FE1549"/>
    <w:rsid w:val="00FE19F1"/>
    <w:rsid w:val="00FE209F"/>
    <w:rsid w:val="00FE30B8"/>
    <w:rsid w:val="00FE3C3A"/>
    <w:rsid w:val="00FE51D7"/>
    <w:rsid w:val="00FE58DC"/>
    <w:rsid w:val="00FE596E"/>
    <w:rsid w:val="00FF0402"/>
    <w:rsid w:val="00FF4796"/>
    <w:rsid w:val="00FF50BD"/>
    <w:rsid w:val="00FF5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DDC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Listenabsatz">
    <w:name w:val="List Paragraph"/>
    <w:basedOn w:val="Standard"/>
    <w:uiPriority w:val="34"/>
    <w:qFormat/>
    <w:rsid w:val="00A63EC8"/>
    <w:pPr>
      <w:ind w:left="720"/>
      <w:contextualSpacing/>
    </w:pPr>
  </w:style>
  <w:style w:type="character" w:styleId="Kommentarzeichen">
    <w:name w:val="annotation reference"/>
    <w:basedOn w:val="Absatz-Standardschriftart"/>
    <w:semiHidden/>
    <w:unhideWhenUsed/>
    <w:rsid w:val="00E82A0C"/>
    <w:rPr>
      <w:sz w:val="16"/>
      <w:szCs w:val="16"/>
    </w:rPr>
  </w:style>
  <w:style w:type="paragraph" w:styleId="Kommentartext">
    <w:name w:val="annotation text"/>
    <w:basedOn w:val="Standard"/>
    <w:link w:val="KommentartextZchn"/>
    <w:semiHidden/>
    <w:unhideWhenUsed/>
    <w:rsid w:val="00E82A0C"/>
    <w:rPr>
      <w:sz w:val="20"/>
    </w:rPr>
  </w:style>
  <w:style w:type="character" w:customStyle="1" w:styleId="KommentartextZchn">
    <w:name w:val="Kommentartext Zchn"/>
    <w:basedOn w:val="Absatz-Standardschriftart"/>
    <w:link w:val="Kommentartext"/>
    <w:semiHidden/>
    <w:rsid w:val="00E82A0C"/>
    <w:rPr>
      <w:lang w:val="en-GB" w:eastAsia="en-US"/>
    </w:rPr>
  </w:style>
  <w:style w:type="paragraph" w:styleId="Kommentarthema">
    <w:name w:val="annotation subject"/>
    <w:basedOn w:val="Kommentartext"/>
    <w:next w:val="Kommentartext"/>
    <w:link w:val="KommentarthemaZchn"/>
    <w:semiHidden/>
    <w:unhideWhenUsed/>
    <w:rsid w:val="00E82A0C"/>
    <w:rPr>
      <w:b/>
      <w:bCs/>
    </w:rPr>
  </w:style>
  <w:style w:type="character" w:customStyle="1" w:styleId="KommentarthemaZchn">
    <w:name w:val="Kommentarthema Zchn"/>
    <w:basedOn w:val="KommentartextZchn"/>
    <w:link w:val="Kommentarthema"/>
    <w:semiHidden/>
    <w:rsid w:val="00E82A0C"/>
    <w:rPr>
      <w:b/>
      <w:bCs/>
      <w:lang w:val="en-GB" w:eastAsia="en-US"/>
    </w:rPr>
  </w:style>
  <w:style w:type="paragraph" w:styleId="berarbeitung">
    <w:name w:val="Revision"/>
    <w:hidden/>
    <w:uiPriority w:val="99"/>
    <w:semiHidden/>
    <w:rsid w:val="00927315"/>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Listenabsatz">
    <w:name w:val="List Paragraph"/>
    <w:basedOn w:val="Standard"/>
    <w:uiPriority w:val="34"/>
    <w:qFormat/>
    <w:rsid w:val="00A63EC8"/>
    <w:pPr>
      <w:ind w:left="720"/>
      <w:contextualSpacing/>
    </w:pPr>
  </w:style>
  <w:style w:type="character" w:styleId="Kommentarzeichen">
    <w:name w:val="annotation reference"/>
    <w:basedOn w:val="Absatz-Standardschriftart"/>
    <w:semiHidden/>
    <w:unhideWhenUsed/>
    <w:rsid w:val="00E82A0C"/>
    <w:rPr>
      <w:sz w:val="16"/>
      <w:szCs w:val="16"/>
    </w:rPr>
  </w:style>
  <w:style w:type="paragraph" w:styleId="Kommentartext">
    <w:name w:val="annotation text"/>
    <w:basedOn w:val="Standard"/>
    <w:link w:val="KommentartextZchn"/>
    <w:semiHidden/>
    <w:unhideWhenUsed/>
    <w:rsid w:val="00E82A0C"/>
    <w:rPr>
      <w:sz w:val="20"/>
    </w:rPr>
  </w:style>
  <w:style w:type="character" w:customStyle="1" w:styleId="KommentartextZchn">
    <w:name w:val="Kommentartext Zchn"/>
    <w:basedOn w:val="Absatz-Standardschriftart"/>
    <w:link w:val="Kommentartext"/>
    <w:semiHidden/>
    <w:rsid w:val="00E82A0C"/>
    <w:rPr>
      <w:lang w:val="en-GB" w:eastAsia="en-US"/>
    </w:rPr>
  </w:style>
  <w:style w:type="paragraph" w:styleId="Kommentarthema">
    <w:name w:val="annotation subject"/>
    <w:basedOn w:val="Kommentartext"/>
    <w:next w:val="Kommentartext"/>
    <w:link w:val="KommentarthemaZchn"/>
    <w:semiHidden/>
    <w:unhideWhenUsed/>
    <w:rsid w:val="00E82A0C"/>
    <w:rPr>
      <w:b/>
      <w:bCs/>
    </w:rPr>
  </w:style>
  <w:style w:type="character" w:customStyle="1" w:styleId="KommentarthemaZchn">
    <w:name w:val="Kommentarthema Zchn"/>
    <w:basedOn w:val="KommentartextZchn"/>
    <w:link w:val="Kommentarthema"/>
    <w:semiHidden/>
    <w:rsid w:val="00E82A0C"/>
    <w:rPr>
      <w:b/>
      <w:bCs/>
      <w:lang w:val="en-GB" w:eastAsia="en-US"/>
    </w:rPr>
  </w:style>
  <w:style w:type="paragraph" w:styleId="berarbeitung">
    <w:name w:val="Revision"/>
    <w:hidden/>
    <w:uiPriority w:val="99"/>
    <w:semiHidden/>
    <w:rsid w:val="0092731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E401-CD31-4EE2-8DD9-C0938256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10427</Characters>
  <Application>Microsoft Office Word</Application>
  <DocSecurity>2</DocSecurity>
  <Lines>86</Lines>
  <Paragraphs>24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12057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2018-02-20T08:14:00Z</dcterms:created>
  <dcterms:modified xsi:type="dcterms:W3CDTF">2018-02-20T11:07:00Z</dcterms:modified>
</cp:coreProperties>
</file>