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B41E" w14:textId="77777777" w:rsidR="00E8279B" w:rsidRPr="002B2710" w:rsidRDefault="007A097C" w:rsidP="006707D7">
      <w:pPr>
        <w:tabs>
          <w:tab w:val="left" w:pos="9072"/>
        </w:tabs>
        <w:spacing w:line="300" w:lineRule="exact"/>
        <w:ind w:right="283"/>
        <w:jc w:val="both"/>
        <w:rPr>
          <w:rFonts w:ascii="CorpoS" w:hAnsi="CorpoS"/>
          <w:b/>
          <w:szCs w:val="24"/>
        </w:rPr>
      </w:pPr>
      <w:r>
        <w:rPr>
          <w:rFonts w:ascii="CorpoS" w:hAnsi="CorpoS"/>
          <w:b/>
          <w:szCs w:val="24"/>
        </w:rPr>
        <w:t>MTU Aero Engines uses Capital Market Day to provide an initial outlook for 2021</w:t>
      </w:r>
    </w:p>
    <w:p w14:paraId="7B469206" w14:textId="77777777" w:rsidR="001F304E" w:rsidRDefault="001F304E" w:rsidP="001D01D5">
      <w:pPr>
        <w:numPr>
          <w:ilvl w:val="0"/>
          <w:numId w:val="11"/>
        </w:numPr>
        <w:tabs>
          <w:tab w:val="left" w:pos="9072"/>
        </w:tabs>
        <w:spacing w:line="300" w:lineRule="exact"/>
        <w:ind w:right="283"/>
        <w:jc w:val="both"/>
        <w:rPr>
          <w:rFonts w:ascii="CorpoS" w:hAnsi="CorpoS"/>
          <w:b/>
          <w:szCs w:val="24"/>
        </w:rPr>
      </w:pPr>
      <w:r>
        <w:rPr>
          <w:rFonts w:ascii="CorpoS" w:hAnsi="CorpoS"/>
          <w:b/>
          <w:szCs w:val="24"/>
        </w:rPr>
        <w:t>Recovery in commercial maintenance and the spare parts business</w:t>
      </w:r>
    </w:p>
    <w:p w14:paraId="5D5CFA0C" w14:textId="74E1D5D3" w:rsidR="00880619" w:rsidRPr="001F304E" w:rsidRDefault="007A2358" w:rsidP="00880619">
      <w:pPr>
        <w:numPr>
          <w:ilvl w:val="0"/>
          <w:numId w:val="11"/>
        </w:numPr>
        <w:tabs>
          <w:tab w:val="left" w:pos="9072"/>
        </w:tabs>
        <w:spacing w:line="300" w:lineRule="exact"/>
        <w:ind w:right="283"/>
        <w:jc w:val="both"/>
        <w:rPr>
          <w:rFonts w:ascii="CorpoS" w:hAnsi="CorpoS"/>
          <w:b/>
          <w:szCs w:val="24"/>
        </w:rPr>
      </w:pPr>
      <w:r>
        <w:rPr>
          <w:rFonts w:ascii="CorpoS" w:hAnsi="CorpoS"/>
          <w:b/>
          <w:szCs w:val="24"/>
        </w:rPr>
        <w:t>Commercial series business stable</w:t>
      </w:r>
    </w:p>
    <w:p w14:paraId="52F18097" w14:textId="77777777" w:rsidR="00C771EC" w:rsidRPr="001F304E" w:rsidRDefault="001F304E" w:rsidP="007A097C">
      <w:pPr>
        <w:numPr>
          <w:ilvl w:val="0"/>
          <w:numId w:val="11"/>
        </w:numPr>
        <w:tabs>
          <w:tab w:val="left" w:pos="9072"/>
        </w:tabs>
        <w:spacing w:line="300" w:lineRule="exact"/>
        <w:ind w:right="283"/>
        <w:jc w:val="both"/>
        <w:rPr>
          <w:rFonts w:ascii="CorpoS" w:hAnsi="CorpoS"/>
          <w:b/>
          <w:szCs w:val="24"/>
        </w:rPr>
      </w:pPr>
      <w:r>
        <w:rPr>
          <w:rFonts w:ascii="CorpoS" w:hAnsi="CorpoS"/>
          <w:b/>
          <w:szCs w:val="24"/>
        </w:rPr>
        <w:t>Slight improvement in the military business</w:t>
      </w:r>
    </w:p>
    <w:p w14:paraId="15DEFFB8" w14:textId="77777777" w:rsidR="00C51A14" w:rsidRPr="008D3468" w:rsidRDefault="00C51A14" w:rsidP="00C51A14">
      <w:pPr>
        <w:tabs>
          <w:tab w:val="left" w:pos="9072"/>
        </w:tabs>
        <w:spacing w:line="300" w:lineRule="exact"/>
        <w:ind w:right="283"/>
        <w:jc w:val="both"/>
        <w:rPr>
          <w:rFonts w:ascii="CorpoS" w:hAnsi="CorpoS"/>
          <w:b/>
          <w:szCs w:val="24"/>
        </w:rPr>
      </w:pPr>
    </w:p>
    <w:p w14:paraId="2704E7AC" w14:textId="491F1B9F" w:rsidR="00D14449" w:rsidRPr="004238EB" w:rsidRDefault="00C51A14" w:rsidP="005F7800">
      <w:pPr>
        <w:tabs>
          <w:tab w:val="left" w:pos="7655"/>
          <w:tab w:val="left" w:pos="9072"/>
        </w:tabs>
        <w:spacing w:line="300" w:lineRule="exact"/>
        <w:ind w:right="283"/>
        <w:jc w:val="both"/>
        <w:rPr>
          <w:rFonts w:ascii="CorpoS" w:hAnsi="CorpoS"/>
          <w:szCs w:val="24"/>
        </w:rPr>
      </w:pPr>
      <w:r>
        <w:rPr>
          <w:rFonts w:ascii="CorpoS" w:hAnsi="CorpoS"/>
          <w:szCs w:val="24"/>
        </w:rPr>
        <w:t xml:space="preserve">Munich, November 19, 2020 – At its virtual Capital Market Day, MTU Aero Engines AG provided an initial outlook for 2021. The company expects the clearest recovery from the effects of the coronavirus crisis to be in the commercial maintenance business. The spare parts and military business should also pick up. In 2021, commercial series business is expected to remain at the 2020 level. “All market analyses indicate that aviation will remain a growth business in the long term,” said Reiner Winkler, CEO of MTU Aero Engines AG. “We see the coming years as a restart phase in which we </w:t>
      </w:r>
      <w:r w:rsidR="008D3468">
        <w:rPr>
          <w:rFonts w:ascii="CorpoS" w:hAnsi="CorpoS"/>
          <w:szCs w:val="24"/>
        </w:rPr>
        <w:t>will</w:t>
      </w:r>
      <w:r>
        <w:rPr>
          <w:rFonts w:ascii="CorpoS" w:hAnsi="CorpoS"/>
          <w:szCs w:val="24"/>
        </w:rPr>
        <w:t xml:space="preserve"> use our technological </w:t>
      </w:r>
      <w:r w:rsidR="008D3468">
        <w:rPr>
          <w:rFonts w:ascii="CorpoS" w:hAnsi="CorpoS"/>
          <w:szCs w:val="24"/>
        </w:rPr>
        <w:t>leadership</w:t>
      </w:r>
      <w:r>
        <w:rPr>
          <w:rFonts w:ascii="CorpoS" w:hAnsi="CorpoS"/>
          <w:szCs w:val="24"/>
        </w:rPr>
        <w:t>, innovative strength and flexibility to extend our good starting position, so that we can derive above-average benefit from the growth of the sector from 2024.” MTU will be able to capitalize on its future-oriented product portfolio, diversified customer base and solid financial structure. Winkler: “We will continue to focus on organic growth in the future.”</w:t>
      </w:r>
    </w:p>
    <w:p w14:paraId="0238834F" w14:textId="77777777" w:rsidR="005F7800" w:rsidRPr="008D3468" w:rsidRDefault="005F7800" w:rsidP="00C51A14">
      <w:pPr>
        <w:tabs>
          <w:tab w:val="left" w:pos="7655"/>
          <w:tab w:val="left" w:pos="9072"/>
        </w:tabs>
        <w:spacing w:line="300" w:lineRule="exact"/>
        <w:ind w:right="283"/>
        <w:jc w:val="both"/>
        <w:rPr>
          <w:rFonts w:ascii="CorpoS" w:hAnsi="CorpoS"/>
          <w:szCs w:val="24"/>
        </w:rPr>
      </w:pPr>
    </w:p>
    <w:p w14:paraId="4D122EA9" w14:textId="28ACC52B" w:rsidR="004238EB" w:rsidRPr="00BF24EA" w:rsidRDefault="004238EB" w:rsidP="005F7800">
      <w:pPr>
        <w:tabs>
          <w:tab w:val="left" w:pos="7655"/>
          <w:tab w:val="left" w:pos="9072"/>
        </w:tabs>
        <w:spacing w:line="300" w:lineRule="exact"/>
        <w:ind w:right="283"/>
        <w:jc w:val="both"/>
        <w:rPr>
          <w:rFonts w:ascii="CorpoS" w:hAnsi="CorpoS"/>
          <w:szCs w:val="24"/>
        </w:rPr>
      </w:pPr>
      <w:r>
        <w:rPr>
          <w:rFonts w:ascii="CorpoS" w:hAnsi="CorpoS"/>
          <w:szCs w:val="24"/>
        </w:rPr>
        <w:t xml:space="preserve">Commercial maintenance should show the strongest upward trend in 2021, with revenue growth in the twenty percent range. “Key drivers here are our strong position in engines for </w:t>
      </w:r>
      <w:proofErr w:type="spellStart"/>
      <w:r>
        <w:rPr>
          <w:rFonts w:ascii="CorpoS" w:hAnsi="CorpoS"/>
          <w:szCs w:val="24"/>
        </w:rPr>
        <w:t>narrowbody</w:t>
      </w:r>
      <w:proofErr w:type="spellEnd"/>
      <w:r>
        <w:rPr>
          <w:rFonts w:ascii="CorpoS" w:hAnsi="CorpoS"/>
          <w:szCs w:val="24"/>
        </w:rPr>
        <w:t xml:space="preserve"> aircraft and our large customer base in the cargo sector,” said Chief Program </w:t>
      </w:r>
      <w:r w:rsidR="00A21093">
        <w:rPr>
          <w:rFonts w:ascii="CorpoS" w:hAnsi="CorpoS"/>
          <w:szCs w:val="24"/>
        </w:rPr>
        <w:br w:type="textWrapping" w:clear="all"/>
      </w:r>
      <w:r>
        <w:rPr>
          <w:rFonts w:ascii="CorpoS" w:hAnsi="CorpoS"/>
          <w:szCs w:val="24"/>
        </w:rPr>
        <w:t xml:space="preserve">Officer Michael </w:t>
      </w:r>
      <w:proofErr w:type="spellStart"/>
      <w:r>
        <w:rPr>
          <w:rFonts w:ascii="CorpoS" w:hAnsi="CorpoS"/>
          <w:szCs w:val="24"/>
        </w:rPr>
        <w:t>Schreyögg</w:t>
      </w:r>
      <w:proofErr w:type="spellEnd"/>
      <w:r>
        <w:rPr>
          <w:rFonts w:ascii="CorpoS" w:hAnsi="CorpoS"/>
          <w:szCs w:val="24"/>
        </w:rPr>
        <w:t xml:space="preserve">. Cargo has proven robust during the coronavirus pandemic. In the passenger sector, domestic flights are recovering faster than international routes, so demand for </w:t>
      </w:r>
      <w:proofErr w:type="spellStart"/>
      <w:r>
        <w:rPr>
          <w:rFonts w:ascii="CorpoS" w:hAnsi="CorpoS"/>
          <w:szCs w:val="24"/>
        </w:rPr>
        <w:t>narrowbody</w:t>
      </w:r>
      <w:proofErr w:type="spellEnd"/>
      <w:r>
        <w:rPr>
          <w:rFonts w:ascii="CorpoS" w:hAnsi="CorpoS"/>
          <w:szCs w:val="24"/>
        </w:rPr>
        <w:t xml:space="preserve"> aircraft is higher than for </w:t>
      </w:r>
      <w:proofErr w:type="spellStart"/>
      <w:r>
        <w:rPr>
          <w:rFonts w:ascii="CorpoS" w:hAnsi="CorpoS"/>
          <w:szCs w:val="24"/>
        </w:rPr>
        <w:t>widebodies</w:t>
      </w:r>
      <w:proofErr w:type="spellEnd"/>
      <w:r>
        <w:rPr>
          <w:rFonts w:ascii="CorpoS" w:hAnsi="CorpoS"/>
          <w:szCs w:val="24"/>
        </w:rPr>
        <w:t xml:space="preserve">. “Use of modern aircraft like the A320neo is </w:t>
      </w:r>
      <w:r w:rsidR="008D3468">
        <w:rPr>
          <w:rFonts w:ascii="CorpoS" w:hAnsi="CorpoS"/>
          <w:szCs w:val="24"/>
        </w:rPr>
        <w:t>strong</w:t>
      </w:r>
      <w:r>
        <w:rPr>
          <w:rFonts w:ascii="CorpoS" w:hAnsi="CorpoS"/>
          <w:szCs w:val="24"/>
        </w:rPr>
        <w:t xml:space="preserve">, so we will see a significant rise in maintenance of PW1100G-JM engines in the future,” said </w:t>
      </w:r>
      <w:proofErr w:type="spellStart"/>
      <w:r>
        <w:rPr>
          <w:rFonts w:ascii="CorpoS" w:hAnsi="CorpoS"/>
          <w:szCs w:val="24"/>
        </w:rPr>
        <w:t>Schreyögg</w:t>
      </w:r>
      <w:proofErr w:type="spellEnd"/>
      <w:r>
        <w:rPr>
          <w:rFonts w:ascii="CorpoS" w:hAnsi="CorpoS"/>
          <w:szCs w:val="24"/>
        </w:rPr>
        <w:t>. In view of the good outlook for commercial maintenance, MTU is sticking to its expansion plans, including establishing a component repair site in Serbia and expanding MTU Maintenance Zhuhai.</w:t>
      </w:r>
    </w:p>
    <w:p w14:paraId="4D94F5BE" w14:textId="77777777" w:rsidR="00EC07EB" w:rsidRPr="008D3468" w:rsidRDefault="00EC07EB" w:rsidP="005F7800">
      <w:pPr>
        <w:tabs>
          <w:tab w:val="left" w:pos="7655"/>
          <w:tab w:val="left" w:pos="9072"/>
        </w:tabs>
        <w:spacing w:line="300" w:lineRule="exact"/>
        <w:ind w:right="283"/>
        <w:jc w:val="both"/>
        <w:rPr>
          <w:rFonts w:ascii="CorpoS" w:hAnsi="CorpoS"/>
          <w:szCs w:val="24"/>
        </w:rPr>
      </w:pPr>
    </w:p>
    <w:p w14:paraId="66A45D87" w14:textId="1DFCD46D" w:rsidR="00880619" w:rsidRPr="0063592C" w:rsidRDefault="00973435" w:rsidP="005F7800">
      <w:pPr>
        <w:tabs>
          <w:tab w:val="left" w:pos="7655"/>
          <w:tab w:val="left" w:pos="9072"/>
        </w:tabs>
        <w:spacing w:line="300" w:lineRule="exact"/>
        <w:ind w:right="283"/>
        <w:jc w:val="both"/>
        <w:rPr>
          <w:rFonts w:ascii="CorpoS" w:hAnsi="CorpoS"/>
          <w:szCs w:val="24"/>
        </w:rPr>
      </w:pPr>
      <w:r>
        <w:rPr>
          <w:rFonts w:ascii="CorpoS" w:hAnsi="CorpoS"/>
          <w:szCs w:val="24"/>
        </w:rPr>
        <w:t>The commercial spare parts business should post slightly higher revenue in 2021. The main revenue drivers here are the V2500 for the A320, the CF6, which is used in many Airbus and Boeing models, and the PW2000 for the Boeing 757 and the C-17 military transporter.</w:t>
      </w:r>
    </w:p>
    <w:p w14:paraId="4AA4E646" w14:textId="77777777" w:rsidR="00880619" w:rsidRPr="008D3468" w:rsidRDefault="00880619" w:rsidP="005F7800">
      <w:pPr>
        <w:tabs>
          <w:tab w:val="left" w:pos="7655"/>
          <w:tab w:val="left" w:pos="9072"/>
        </w:tabs>
        <w:spacing w:line="300" w:lineRule="exact"/>
        <w:ind w:right="283"/>
        <w:jc w:val="both"/>
        <w:rPr>
          <w:rFonts w:ascii="CorpoS" w:hAnsi="CorpoS"/>
          <w:szCs w:val="24"/>
        </w:rPr>
      </w:pPr>
    </w:p>
    <w:p w14:paraId="3322EA4A" w14:textId="420D7E12" w:rsidR="00832937" w:rsidRPr="00C25BB5" w:rsidRDefault="005C72C5" w:rsidP="00E35063">
      <w:pPr>
        <w:tabs>
          <w:tab w:val="left" w:pos="7655"/>
          <w:tab w:val="left" w:pos="7938"/>
        </w:tabs>
        <w:spacing w:line="300" w:lineRule="exact"/>
        <w:ind w:right="283"/>
        <w:jc w:val="both"/>
        <w:rPr>
          <w:rFonts w:ascii="CorpoS" w:hAnsi="CorpoS"/>
          <w:szCs w:val="24"/>
        </w:rPr>
      </w:pPr>
      <w:r>
        <w:rPr>
          <w:rFonts w:ascii="CorpoS" w:hAnsi="CorpoS"/>
          <w:szCs w:val="24"/>
        </w:rPr>
        <w:t xml:space="preserve">MTU anticipates that the commercial series business will make a stable contribution to revenue in 2021. “Lower output of aircraft is reflected in engine production,” said </w:t>
      </w:r>
      <w:proofErr w:type="spellStart"/>
      <w:r>
        <w:rPr>
          <w:rFonts w:ascii="CorpoS" w:hAnsi="CorpoS"/>
          <w:szCs w:val="24"/>
        </w:rPr>
        <w:t>Schreyögg</w:t>
      </w:r>
      <w:proofErr w:type="spellEnd"/>
      <w:r>
        <w:rPr>
          <w:rFonts w:ascii="CorpoS" w:hAnsi="CorpoS"/>
          <w:szCs w:val="24"/>
        </w:rPr>
        <w:t xml:space="preserve">. “There are signs that production will be ramped up again in the </w:t>
      </w:r>
      <w:proofErr w:type="spellStart"/>
      <w:r>
        <w:rPr>
          <w:rFonts w:ascii="CorpoS" w:hAnsi="CorpoS"/>
          <w:szCs w:val="24"/>
        </w:rPr>
        <w:t>mid term</w:t>
      </w:r>
      <w:proofErr w:type="spellEnd"/>
      <w:r>
        <w:rPr>
          <w:rFonts w:ascii="CorpoS" w:hAnsi="CorpoS"/>
          <w:szCs w:val="24"/>
        </w:rPr>
        <w:t xml:space="preserve">, especially production of the A320neo. On the engines side, we are optimally prepared for that.” MTU is focusing on the entire value chain, from product design and supplier management, through procurement </w:t>
      </w:r>
      <w:r w:rsidR="00A21093">
        <w:rPr>
          <w:rFonts w:ascii="CorpoS" w:hAnsi="CorpoS"/>
          <w:szCs w:val="24"/>
        </w:rPr>
        <w:br w:type="textWrapping" w:clear="all"/>
      </w:r>
      <w:r>
        <w:rPr>
          <w:rFonts w:ascii="CorpoS" w:hAnsi="CorpoS"/>
          <w:szCs w:val="24"/>
        </w:rPr>
        <w:t xml:space="preserve">strategy, quality management and cost management to automation and digitalization. Lars Wagner, Chief Operating Officer: “Our declared aim is to maximize production flexibility while </w:t>
      </w:r>
      <w:r w:rsidR="00A21093">
        <w:rPr>
          <w:rFonts w:ascii="CorpoS" w:hAnsi="CorpoS"/>
          <w:szCs w:val="24"/>
        </w:rPr>
        <w:br w:type="textWrapping" w:clear="all"/>
      </w:r>
      <w:r>
        <w:rPr>
          <w:rFonts w:ascii="CorpoS" w:hAnsi="CorpoS"/>
          <w:szCs w:val="24"/>
        </w:rPr>
        <w:lastRenderedPageBreak/>
        <w:t>maintaining the highest quality standards and, at the same time, expanding our technological and cost leadership.” As well as optimizing the present engine generations, MTU is working on technologies reaching well into the coming decades. “We are paying special attention to issues such as emission-free flying, especially topics like hydrogen and flying fuel cells,” said Wagner.</w:t>
      </w:r>
    </w:p>
    <w:p w14:paraId="5D82F112" w14:textId="77777777" w:rsidR="005C72C5" w:rsidRPr="008D3468" w:rsidRDefault="005C72C5" w:rsidP="005F7800">
      <w:pPr>
        <w:tabs>
          <w:tab w:val="left" w:pos="7655"/>
          <w:tab w:val="left" w:pos="9072"/>
        </w:tabs>
        <w:spacing w:line="300" w:lineRule="exact"/>
        <w:ind w:right="283"/>
        <w:jc w:val="both"/>
        <w:rPr>
          <w:rFonts w:ascii="CorpoS" w:hAnsi="CorpoS"/>
          <w:szCs w:val="24"/>
        </w:rPr>
      </w:pPr>
    </w:p>
    <w:p w14:paraId="036737BA" w14:textId="13E7BC40" w:rsidR="004238EB" w:rsidRPr="007908C0" w:rsidRDefault="004238EB" w:rsidP="004238EB">
      <w:pPr>
        <w:tabs>
          <w:tab w:val="left" w:pos="7655"/>
          <w:tab w:val="left" w:pos="9072"/>
        </w:tabs>
        <w:spacing w:line="300" w:lineRule="exact"/>
        <w:ind w:right="283"/>
        <w:jc w:val="both"/>
        <w:rPr>
          <w:rFonts w:ascii="CorpoS" w:hAnsi="CorpoS"/>
          <w:szCs w:val="24"/>
        </w:rPr>
      </w:pPr>
      <w:r>
        <w:rPr>
          <w:rFonts w:ascii="CorpoS" w:hAnsi="CorpoS"/>
          <w:szCs w:val="24"/>
        </w:rPr>
        <w:t xml:space="preserve">The military business has not been affected by the pandemic and should post further slight growth in 2021. “Here, we are benefiting from the decision on the </w:t>
      </w:r>
      <w:r w:rsidR="008D3468">
        <w:rPr>
          <w:rFonts w:ascii="CorpoS" w:hAnsi="CorpoS"/>
          <w:szCs w:val="24"/>
        </w:rPr>
        <w:t xml:space="preserve">replacement of the </w:t>
      </w:r>
      <w:r>
        <w:rPr>
          <w:rFonts w:ascii="CorpoS" w:hAnsi="CorpoS"/>
          <w:szCs w:val="24"/>
        </w:rPr>
        <w:t xml:space="preserve">first Eurofighter tranche and we are very well positioned to participate in the successor to the </w:t>
      </w:r>
      <w:r w:rsidR="00A21093">
        <w:rPr>
          <w:rFonts w:ascii="CorpoS" w:hAnsi="CorpoS"/>
          <w:szCs w:val="24"/>
        </w:rPr>
        <w:br w:type="textWrapping" w:clear="all"/>
      </w:r>
      <w:r>
        <w:rPr>
          <w:rFonts w:ascii="CorpoS" w:hAnsi="CorpoS"/>
          <w:szCs w:val="24"/>
        </w:rPr>
        <w:t xml:space="preserve">Tornado. There is also excellent export potential for the Eurofighter with the EJ200 engine,” explained </w:t>
      </w:r>
      <w:proofErr w:type="spellStart"/>
      <w:r>
        <w:rPr>
          <w:rFonts w:ascii="CorpoS" w:hAnsi="CorpoS"/>
          <w:szCs w:val="24"/>
        </w:rPr>
        <w:t>Schreyögg</w:t>
      </w:r>
      <w:proofErr w:type="spellEnd"/>
      <w:r>
        <w:rPr>
          <w:rFonts w:ascii="CorpoS" w:hAnsi="CorpoS"/>
          <w:szCs w:val="24"/>
        </w:rPr>
        <w:t xml:space="preserve">. “In the military segment, the key element for the future is the </w:t>
      </w:r>
      <w:r w:rsidR="00A21093">
        <w:rPr>
          <w:rFonts w:ascii="CorpoS" w:hAnsi="CorpoS"/>
          <w:szCs w:val="24"/>
        </w:rPr>
        <w:br w:type="textWrapping" w:clear="all"/>
      </w:r>
      <w:bookmarkStart w:id="0" w:name="_GoBack"/>
      <w:bookmarkEnd w:id="0"/>
      <w:r>
        <w:rPr>
          <w:rFonts w:ascii="CorpoS" w:hAnsi="CorpoS"/>
          <w:szCs w:val="24"/>
        </w:rPr>
        <w:t xml:space="preserve">next-generation European fighter aircraft, which we are supporting with the Next European Fighter Engine.” Wagner: “We are working on key basic technologies, which </w:t>
      </w:r>
      <w:r w:rsidR="008D3468">
        <w:rPr>
          <w:rFonts w:ascii="CorpoS" w:hAnsi="CorpoS"/>
          <w:szCs w:val="24"/>
        </w:rPr>
        <w:t>can</w:t>
      </w:r>
      <w:r>
        <w:rPr>
          <w:rFonts w:ascii="CorpoS" w:hAnsi="CorpoS"/>
          <w:szCs w:val="24"/>
        </w:rPr>
        <w:t xml:space="preserve"> also be used in the commercial sector.</w:t>
      </w:r>
      <w:r w:rsidR="008D3468">
        <w:rPr>
          <w:rFonts w:ascii="CorpoS" w:hAnsi="CorpoS"/>
          <w:szCs w:val="24"/>
        </w:rPr>
        <w:t>”</w:t>
      </w:r>
    </w:p>
    <w:p w14:paraId="29D19B89" w14:textId="77777777" w:rsidR="004238EB" w:rsidRPr="008D3468" w:rsidRDefault="004238EB" w:rsidP="005F7800">
      <w:pPr>
        <w:tabs>
          <w:tab w:val="left" w:pos="7655"/>
          <w:tab w:val="left" w:pos="9072"/>
        </w:tabs>
        <w:spacing w:line="300" w:lineRule="exact"/>
        <w:ind w:right="283"/>
        <w:jc w:val="both"/>
        <w:rPr>
          <w:rFonts w:ascii="CorpoS" w:hAnsi="CorpoS"/>
          <w:szCs w:val="24"/>
        </w:rPr>
      </w:pPr>
    </w:p>
    <w:p w14:paraId="69489CC0" w14:textId="738E9B81" w:rsidR="001200C9" w:rsidRDefault="000653A2" w:rsidP="001200C9">
      <w:pPr>
        <w:tabs>
          <w:tab w:val="left" w:pos="7655"/>
          <w:tab w:val="left" w:pos="9072"/>
        </w:tabs>
        <w:spacing w:line="300" w:lineRule="exact"/>
        <w:ind w:right="283"/>
        <w:jc w:val="both"/>
        <w:rPr>
          <w:rFonts w:ascii="CorpoS" w:hAnsi="CorpoS"/>
          <w:szCs w:val="24"/>
        </w:rPr>
      </w:pPr>
      <w:r>
        <w:rPr>
          <w:rFonts w:ascii="CorpoS" w:hAnsi="CorpoS"/>
          <w:szCs w:val="24"/>
        </w:rPr>
        <w:t xml:space="preserve">Chief Financial Officer Peter </w:t>
      </w:r>
      <w:proofErr w:type="spellStart"/>
      <w:r>
        <w:rPr>
          <w:rFonts w:ascii="CorpoS" w:hAnsi="CorpoS"/>
          <w:szCs w:val="24"/>
        </w:rPr>
        <w:t>Kameritsch</w:t>
      </w:r>
      <w:proofErr w:type="spellEnd"/>
      <w:r>
        <w:rPr>
          <w:rFonts w:ascii="CorpoS" w:hAnsi="CorpoS"/>
          <w:szCs w:val="24"/>
        </w:rPr>
        <w:t xml:space="preserve"> summed up: “On the financial side, safeguarding our liquidity has top priority for us. We are acting with foresight to steer MTU safely through the crisis and restart phases and, at the same time, to ensure we have the necessary financial headroom for organic growth and investment in new programs.” MTU has increased its liquidity reserves considerably in 2020. In addition, a restructuring program has been introduced. The resulting capacity adjustment of ten to 15 percent should be completed by the end of 2021.</w:t>
      </w:r>
    </w:p>
    <w:p w14:paraId="21B2649E" w14:textId="77777777" w:rsidR="0033584F" w:rsidRPr="008D3468" w:rsidRDefault="0033584F" w:rsidP="001200C9">
      <w:pPr>
        <w:tabs>
          <w:tab w:val="left" w:pos="7655"/>
          <w:tab w:val="left" w:pos="9072"/>
        </w:tabs>
        <w:spacing w:line="300" w:lineRule="exact"/>
        <w:ind w:right="283"/>
        <w:jc w:val="both"/>
        <w:rPr>
          <w:rFonts w:ascii="CorpoS" w:hAnsi="CorpoS"/>
          <w:szCs w:val="24"/>
        </w:rPr>
      </w:pPr>
    </w:p>
    <w:p w14:paraId="53CAC655" w14:textId="77777777" w:rsidR="0033584F" w:rsidRPr="0033584F" w:rsidRDefault="0033584F" w:rsidP="001200C9">
      <w:pPr>
        <w:tabs>
          <w:tab w:val="left" w:pos="7655"/>
          <w:tab w:val="left" w:pos="9072"/>
        </w:tabs>
        <w:spacing w:line="300" w:lineRule="exact"/>
        <w:ind w:right="283"/>
        <w:jc w:val="both"/>
        <w:rPr>
          <w:rFonts w:ascii="CorpoS" w:hAnsi="CorpoS"/>
          <w:b/>
          <w:szCs w:val="24"/>
        </w:rPr>
      </w:pPr>
      <w:r>
        <w:rPr>
          <w:rFonts w:ascii="CorpoS" w:hAnsi="CorpoS"/>
          <w:b/>
          <w:szCs w:val="24"/>
        </w:rPr>
        <w:t>Forecast for 2021</w:t>
      </w:r>
    </w:p>
    <w:p w14:paraId="252788EA" w14:textId="77777777" w:rsidR="0033584F" w:rsidRPr="0033584F" w:rsidRDefault="0033584F" w:rsidP="001200C9">
      <w:pPr>
        <w:tabs>
          <w:tab w:val="left" w:pos="7655"/>
          <w:tab w:val="left" w:pos="9072"/>
        </w:tabs>
        <w:spacing w:line="300" w:lineRule="exact"/>
        <w:ind w:right="283"/>
        <w:jc w:val="both"/>
        <w:rPr>
          <w:rFonts w:ascii="CorpoS" w:hAnsi="CorpoS"/>
          <w:i/>
          <w:szCs w:val="24"/>
        </w:rPr>
      </w:pPr>
      <w:r>
        <w:rPr>
          <w:rFonts w:ascii="CorpoS" w:hAnsi="CorpoS"/>
          <w:i/>
          <w:szCs w:val="24"/>
        </w:rPr>
        <w:t>Organic revenue development</w:t>
      </w:r>
    </w:p>
    <w:p w14:paraId="78BC5145" w14:textId="77777777" w:rsidR="0033584F" w:rsidRDefault="0033584F" w:rsidP="001200C9">
      <w:pPr>
        <w:tabs>
          <w:tab w:val="left" w:pos="7655"/>
          <w:tab w:val="left" w:pos="9072"/>
        </w:tabs>
        <w:spacing w:line="300" w:lineRule="exact"/>
        <w:ind w:right="283"/>
        <w:jc w:val="both"/>
        <w:rPr>
          <w:rFonts w:ascii="CorpoS" w:hAnsi="CorpoS"/>
          <w:szCs w:val="24"/>
          <w:lang w:val="de-DE"/>
        </w:rPr>
      </w:pPr>
    </w:p>
    <w:tbl>
      <w:tblPr>
        <w:tblStyle w:val="Tabellenraster"/>
        <w:tblW w:w="0" w:type="auto"/>
        <w:tblLook w:val="04A0" w:firstRow="1" w:lastRow="0" w:firstColumn="1" w:lastColumn="0" w:noHBand="0" w:noVBand="1"/>
      </w:tblPr>
      <w:tblGrid>
        <w:gridCol w:w="4672"/>
        <w:gridCol w:w="4673"/>
      </w:tblGrid>
      <w:tr w:rsidR="0033584F" w14:paraId="022FAD88" w14:textId="77777777" w:rsidTr="0033584F">
        <w:tc>
          <w:tcPr>
            <w:tcW w:w="4672" w:type="dxa"/>
          </w:tcPr>
          <w:p w14:paraId="6B86C338" w14:textId="77777777" w:rsidR="0033584F" w:rsidRDefault="0033584F" w:rsidP="001200C9">
            <w:pPr>
              <w:tabs>
                <w:tab w:val="left" w:pos="7655"/>
                <w:tab w:val="left" w:pos="9072"/>
              </w:tabs>
              <w:spacing w:line="300" w:lineRule="exact"/>
              <w:ind w:right="283"/>
              <w:jc w:val="both"/>
              <w:rPr>
                <w:rFonts w:ascii="CorpoS" w:hAnsi="CorpoS"/>
                <w:szCs w:val="24"/>
              </w:rPr>
            </w:pPr>
            <w:r>
              <w:rPr>
                <w:rFonts w:ascii="CorpoS" w:hAnsi="CorpoS"/>
                <w:szCs w:val="24"/>
              </w:rPr>
              <w:t>Military business</w:t>
            </w:r>
          </w:p>
        </w:tc>
        <w:tc>
          <w:tcPr>
            <w:tcW w:w="4673" w:type="dxa"/>
          </w:tcPr>
          <w:p w14:paraId="2BFC1EA0" w14:textId="66622D29" w:rsidR="0033584F" w:rsidRDefault="008D3468" w:rsidP="0033584F">
            <w:pPr>
              <w:tabs>
                <w:tab w:val="left" w:pos="7655"/>
                <w:tab w:val="left" w:pos="9072"/>
              </w:tabs>
              <w:spacing w:line="300" w:lineRule="exact"/>
              <w:ind w:right="283"/>
              <w:jc w:val="both"/>
              <w:rPr>
                <w:rFonts w:ascii="CorpoS" w:hAnsi="CorpoS"/>
                <w:szCs w:val="24"/>
              </w:rPr>
            </w:pPr>
            <w:r>
              <w:rPr>
                <w:rFonts w:ascii="CorpoS" w:hAnsi="CorpoS"/>
                <w:szCs w:val="24"/>
              </w:rPr>
              <w:t>Slightly up</w:t>
            </w:r>
          </w:p>
        </w:tc>
      </w:tr>
      <w:tr w:rsidR="0033584F" w:rsidRPr="00312B14" w14:paraId="617DEAC4" w14:textId="77777777" w:rsidTr="0033584F">
        <w:tc>
          <w:tcPr>
            <w:tcW w:w="4672" w:type="dxa"/>
          </w:tcPr>
          <w:p w14:paraId="7A20DFDE" w14:textId="0E712A7A" w:rsidR="0033584F" w:rsidRDefault="00F97C77" w:rsidP="00F97C77">
            <w:pPr>
              <w:tabs>
                <w:tab w:val="left" w:pos="7655"/>
                <w:tab w:val="left" w:pos="9072"/>
              </w:tabs>
              <w:spacing w:line="300" w:lineRule="exact"/>
              <w:ind w:right="283"/>
              <w:jc w:val="both"/>
              <w:rPr>
                <w:rFonts w:ascii="CorpoS" w:hAnsi="CorpoS"/>
                <w:szCs w:val="24"/>
              </w:rPr>
            </w:pPr>
            <w:r>
              <w:rPr>
                <w:rFonts w:ascii="CorpoS" w:hAnsi="CorpoS"/>
                <w:szCs w:val="24"/>
              </w:rPr>
              <w:t>C</w:t>
            </w:r>
            <w:r w:rsidR="0033584F">
              <w:rPr>
                <w:rFonts w:ascii="CorpoS" w:hAnsi="CorpoS"/>
                <w:szCs w:val="24"/>
              </w:rPr>
              <w:t xml:space="preserve">ommercial </w:t>
            </w:r>
            <w:r>
              <w:rPr>
                <w:rFonts w:ascii="CorpoS" w:hAnsi="CorpoS"/>
                <w:szCs w:val="24"/>
              </w:rPr>
              <w:t>series production business</w:t>
            </w:r>
          </w:p>
        </w:tc>
        <w:tc>
          <w:tcPr>
            <w:tcW w:w="4673" w:type="dxa"/>
          </w:tcPr>
          <w:p w14:paraId="5A3940F5" w14:textId="17E8F93A" w:rsidR="0033584F" w:rsidRDefault="00312B14" w:rsidP="001200C9">
            <w:pPr>
              <w:tabs>
                <w:tab w:val="left" w:pos="7655"/>
                <w:tab w:val="left" w:pos="9072"/>
              </w:tabs>
              <w:spacing w:line="300" w:lineRule="exact"/>
              <w:ind w:right="283"/>
              <w:jc w:val="both"/>
              <w:rPr>
                <w:rFonts w:ascii="CorpoS" w:hAnsi="CorpoS"/>
                <w:szCs w:val="24"/>
              </w:rPr>
            </w:pPr>
            <w:r>
              <w:rPr>
                <w:rFonts w:ascii="CorpoS" w:hAnsi="CorpoS"/>
                <w:szCs w:val="24"/>
              </w:rPr>
              <w:t>Stable</w:t>
            </w:r>
          </w:p>
        </w:tc>
      </w:tr>
      <w:tr w:rsidR="0033584F" w14:paraId="3FF775FA" w14:textId="77777777" w:rsidTr="0033584F">
        <w:tc>
          <w:tcPr>
            <w:tcW w:w="4672" w:type="dxa"/>
          </w:tcPr>
          <w:p w14:paraId="36A45365" w14:textId="77777777" w:rsidR="0033584F" w:rsidRDefault="0033584F" w:rsidP="001200C9">
            <w:pPr>
              <w:tabs>
                <w:tab w:val="left" w:pos="7655"/>
                <w:tab w:val="left" w:pos="9072"/>
              </w:tabs>
              <w:spacing w:line="300" w:lineRule="exact"/>
              <w:ind w:right="283"/>
              <w:jc w:val="both"/>
              <w:rPr>
                <w:rFonts w:ascii="CorpoS" w:hAnsi="CorpoS"/>
                <w:szCs w:val="24"/>
              </w:rPr>
            </w:pPr>
            <w:r>
              <w:rPr>
                <w:rFonts w:ascii="CorpoS" w:hAnsi="CorpoS"/>
                <w:szCs w:val="24"/>
              </w:rPr>
              <w:t>Spare parts business</w:t>
            </w:r>
          </w:p>
        </w:tc>
        <w:tc>
          <w:tcPr>
            <w:tcW w:w="4673" w:type="dxa"/>
          </w:tcPr>
          <w:p w14:paraId="59201CA3" w14:textId="7C1D3C71" w:rsidR="0033584F" w:rsidRDefault="0033584F" w:rsidP="0033584F">
            <w:pPr>
              <w:tabs>
                <w:tab w:val="left" w:pos="7655"/>
                <w:tab w:val="left" w:pos="9072"/>
              </w:tabs>
              <w:spacing w:line="300" w:lineRule="exact"/>
              <w:ind w:right="283"/>
              <w:jc w:val="both"/>
              <w:rPr>
                <w:rFonts w:ascii="CorpoS" w:hAnsi="CorpoS"/>
                <w:szCs w:val="24"/>
              </w:rPr>
            </w:pPr>
            <w:r>
              <w:rPr>
                <w:rFonts w:ascii="CorpoS" w:hAnsi="CorpoS"/>
                <w:szCs w:val="24"/>
              </w:rPr>
              <w:t>Slight</w:t>
            </w:r>
            <w:r w:rsidR="008D3468">
              <w:rPr>
                <w:rFonts w:ascii="CorpoS" w:hAnsi="CorpoS"/>
                <w:szCs w:val="24"/>
              </w:rPr>
              <w:t>ly up</w:t>
            </w:r>
          </w:p>
        </w:tc>
      </w:tr>
      <w:tr w:rsidR="0033584F" w14:paraId="650FA2C8" w14:textId="77777777" w:rsidTr="0033584F">
        <w:tc>
          <w:tcPr>
            <w:tcW w:w="4672" w:type="dxa"/>
          </w:tcPr>
          <w:p w14:paraId="1375CCB8" w14:textId="77777777" w:rsidR="0033584F" w:rsidRDefault="0033584F" w:rsidP="001200C9">
            <w:pPr>
              <w:tabs>
                <w:tab w:val="left" w:pos="7655"/>
                <w:tab w:val="left" w:pos="9072"/>
              </w:tabs>
              <w:spacing w:line="300" w:lineRule="exact"/>
              <w:ind w:right="283"/>
              <w:jc w:val="both"/>
              <w:rPr>
                <w:rFonts w:ascii="CorpoS" w:hAnsi="CorpoS"/>
                <w:szCs w:val="24"/>
              </w:rPr>
            </w:pPr>
            <w:r>
              <w:rPr>
                <w:rFonts w:ascii="CorpoS" w:hAnsi="CorpoS"/>
                <w:szCs w:val="24"/>
              </w:rPr>
              <w:t>Commercial maintenance</w:t>
            </w:r>
          </w:p>
        </w:tc>
        <w:tc>
          <w:tcPr>
            <w:tcW w:w="4673" w:type="dxa"/>
          </w:tcPr>
          <w:p w14:paraId="293B5A9B" w14:textId="35F20A03" w:rsidR="0033584F" w:rsidRDefault="008D3468" w:rsidP="001200C9">
            <w:pPr>
              <w:tabs>
                <w:tab w:val="left" w:pos="7655"/>
                <w:tab w:val="left" w:pos="9072"/>
              </w:tabs>
              <w:spacing w:line="300" w:lineRule="exact"/>
              <w:ind w:right="283"/>
              <w:jc w:val="both"/>
              <w:rPr>
                <w:rFonts w:ascii="CorpoS" w:hAnsi="CorpoS"/>
                <w:szCs w:val="24"/>
              </w:rPr>
            </w:pPr>
            <w:r>
              <w:rPr>
                <w:rFonts w:ascii="CorpoS" w:hAnsi="CorpoS"/>
                <w:szCs w:val="24"/>
              </w:rPr>
              <w:t>Up</w:t>
            </w:r>
            <w:r w:rsidR="0033584F">
              <w:rPr>
                <w:rFonts w:ascii="CorpoS" w:hAnsi="CorpoS"/>
                <w:szCs w:val="24"/>
              </w:rPr>
              <w:t xml:space="preserve"> in the twenty-percent range</w:t>
            </w:r>
          </w:p>
        </w:tc>
      </w:tr>
    </w:tbl>
    <w:p w14:paraId="23E4AE85" w14:textId="77777777" w:rsidR="0033584F" w:rsidRPr="008D3468" w:rsidRDefault="0033584F" w:rsidP="001200C9">
      <w:pPr>
        <w:tabs>
          <w:tab w:val="left" w:pos="7655"/>
          <w:tab w:val="left" w:pos="9072"/>
        </w:tabs>
        <w:spacing w:line="300" w:lineRule="exact"/>
        <w:ind w:right="283"/>
        <w:jc w:val="both"/>
        <w:rPr>
          <w:rFonts w:ascii="CorpoS" w:hAnsi="CorpoS"/>
          <w:szCs w:val="24"/>
        </w:rPr>
      </w:pPr>
    </w:p>
    <w:p w14:paraId="26E7EAA3" w14:textId="77777777" w:rsidR="00285633" w:rsidRPr="008D3468" w:rsidRDefault="00285633" w:rsidP="00C51A14">
      <w:pPr>
        <w:tabs>
          <w:tab w:val="left" w:pos="7655"/>
          <w:tab w:val="left" w:pos="9072"/>
        </w:tabs>
        <w:spacing w:line="300" w:lineRule="exact"/>
        <w:ind w:right="283"/>
        <w:jc w:val="both"/>
        <w:rPr>
          <w:rFonts w:ascii="CorpoS" w:hAnsi="CorpoS"/>
          <w:sz w:val="22"/>
          <w:szCs w:val="22"/>
        </w:rPr>
      </w:pPr>
    </w:p>
    <w:p w14:paraId="2A21478F" w14:textId="77777777" w:rsidR="00550454" w:rsidRPr="004E6EA9" w:rsidRDefault="00550454" w:rsidP="00550454">
      <w:pPr>
        <w:ind w:right="1984"/>
        <w:jc w:val="both"/>
        <w:rPr>
          <w:rFonts w:ascii="CorpoS" w:hAnsi="CorpoS"/>
          <w:b/>
          <w:sz w:val="20"/>
          <w:u w:val="single"/>
        </w:rPr>
      </w:pPr>
      <w:r>
        <w:rPr>
          <w:rFonts w:ascii="CorpoS" w:hAnsi="CorpoS"/>
          <w:b/>
          <w:sz w:val="20"/>
          <w:u w:val="single"/>
        </w:rPr>
        <w:t>About MTU Aero Engines</w:t>
      </w:r>
    </w:p>
    <w:p w14:paraId="59C2F258" w14:textId="77777777" w:rsidR="00550454" w:rsidRDefault="00550454" w:rsidP="00550454">
      <w:pPr>
        <w:ind w:right="-1"/>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26D7F90E" w14:textId="77777777" w:rsidR="00550454" w:rsidRPr="008D3468" w:rsidRDefault="00550454" w:rsidP="00550454">
      <w:pPr>
        <w:ind w:right="424"/>
        <w:jc w:val="both"/>
        <w:rPr>
          <w:rFonts w:ascii="CorpoS" w:hAnsi="CorpoS" w:cs="Arial"/>
          <w:sz w:val="20"/>
        </w:rPr>
      </w:pPr>
    </w:p>
    <w:p w14:paraId="467A54D1" w14:textId="77777777" w:rsidR="00550454" w:rsidRPr="008D3468" w:rsidRDefault="00550454" w:rsidP="00550454">
      <w:pPr>
        <w:ind w:right="424"/>
        <w:jc w:val="both"/>
        <w:rPr>
          <w:rFonts w:ascii="CorpoS" w:hAnsi="CorpoS" w:cs="Arial"/>
          <w:sz w:val="20"/>
        </w:rPr>
      </w:pPr>
    </w:p>
    <w:p w14:paraId="5E14C1BF" w14:textId="77777777" w:rsidR="00550454" w:rsidRPr="004E6EA9" w:rsidRDefault="00550454" w:rsidP="00550454">
      <w:pPr>
        <w:rPr>
          <w:rFonts w:ascii="CorpoS" w:hAnsi="CorpoS"/>
          <w:sz w:val="20"/>
          <w:u w:val="single"/>
        </w:rPr>
      </w:pPr>
      <w:r>
        <w:rPr>
          <w:rFonts w:ascii="CorpoS" w:hAnsi="CorpoS"/>
          <w:sz w:val="20"/>
          <w:u w:val="single"/>
        </w:rPr>
        <w:lastRenderedPageBreak/>
        <w:t>Your contacts:</w:t>
      </w:r>
    </w:p>
    <w:p w14:paraId="5D59A4D6" w14:textId="77777777" w:rsidR="00550454" w:rsidRPr="004E6EA9" w:rsidRDefault="00550454" w:rsidP="00550454">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53158786" w14:textId="77777777" w:rsidR="00550454" w:rsidRPr="004E6EA9" w:rsidRDefault="00550454" w:rsidP="00550454">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7BFCFB17" w14:textId="77777777" w:rsidR="00550454" w:rsidRPr="00C51A14" w:rsidRDefault="00550454" w:rsidP="00550454">
      <w:pPr>
        <w:rPr>
          <w:rFonts w:ascii="CorpoS" w:hAnsi="CorpoS"/>
          <w:sz w:val="20"/>
        </w:rPr>
      </w:pPr>
      <w:r>
        <w:rPr>
          <w:rFonts w:ascii="CorpoS" w:hAnsi="CorpoS"/>
          <w:sz w:val="20"/>
        </w:rPr>
        <w:t xml:space="preserve">and Public Affairs </w:t>
      </w:r>
      <w:r>
        <w:rPr>
          <w:rFonts w:ascii="CorpoS" w:hAnsi="CorpoS"/>
          <w:sz w:val="20"/>
        </w:rPr>
        <w:tab/>
      </w:r>
    </w:p>
    <w:p w14:paraId="33399246" w14:textId="77777777" w:rsidR="00550454" w:rsidRPr="00C51A14" w:rsidRDefault="00550454" w:rsidP="00550454">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42AD5714" w14:textId="77777777" w:rsidR="00550454" w:rsidRPr="004E6EA9" w:rsidRDefault="00550454" w:rsidP="00550454">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0EF27754" w14:textId="77777777" w:rsidR="00550454" w:rsidRPr="004E6EA9" w:rsidRDefault="00550454" w:rsidP="00550454">
      <w:pPr>
        <w:rPr>
          <w:rFonts w:ascii="CorpoS" w:hAnsi="CorpoS"/>
          <w:sz w:val="20"/>
        </w:rPr>
      </w:pPr>
      <w:r>
        <w:rPr>
          <w:rFonts w:ascii="CorpoS" w:hAnsi="CorpoS"/>
          <w:sz w:val="20"/>
        </w:rPr>
        <w:t xml:space="preserve">Email: Eckhard.Zanger@mtu.de  </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06D89BEC" w14:textId="77777777" w:rsidR="00550454" w:rsidRPr="008D3468" w:rsidRDefault="00550454" w:rsidP="00550454">
      <w:pPr>
        <w:rPr>
          <w:rFonts w:ascii="CorpoS" w:hAnsi="CorpoS"/>
          <w:szCs w:val="24"/>
          <w:u w:val="single"/>
        </w:rPr>
      </w:pPr>
    </w:p>
    <w:p w14:paraId="3EE26E5F" w14:textId="77777777" w:rsidR="00550454" w:rsidRPr="008D3468" w:rsidRDefault="00550454" w:rsidP="00550454">
      <w:pPr>
        <w:pStyle w:val="MTUBodycopy"/>
        <w:tabs>
          <w:tab w:val="left" w:pos="8505"/>
        </w:tabs>
        <w:ind w:right="1984"/>
        <w:jc w:val="both"/>
      </w:pPr>
    </w:p>
    <w:p w14:paraId="0FB110DA" w14:textId="77777777" w:rsidR="00550454" w:rsidRPr="004E6EA9" w:rsidRDefault="00550454" w:rsidP="00550454">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16E0229C" w14:textId="77777777" w:rsidR="00550454" w:rsidRPr="008D3468" w:rsidRDefault="00550454" w:rsidP="00550454">
      <w:pPr>
        <w:pStyle w:val="MTUBodycopy"/>
        <w:tabs>
          <w:tab w:val="left" w:pos="8505"/>
        </w:tabs>
        <w:ind w:right="1984"/>
        <w:jc w:val="both"/>
        <w:rPr>
          <w:i/>
        </w:rPr>
      </w:pPr>
    </w:p>
    <w:p w14:paraId="2F9C82FB" w14:textId="77777777" w:rsidR="00550454" w:rsidRPr="008D3468" w:rsidRDefault="00550454" w:rsidP="00550454">
      <w:pPr>
        <w:pStyle w:val="MTUBodycopy"/>
        <w:tabs>
          <w:tab w:val="left" w:pos="8505"/>
        </w:tabs>
        <w:ind w:right="1984"/>
        <w:jc w:val="both"/>
        <w:rPr>
          <w:i/>
        </w:rPr>
      </w:pPr>
    </w:p>
    <w:p w14:paraId="22599587" w14:textId="77777777" w:rsidR="00550454" w:rsidRPr="0021479B" w:rsidRDefault="00550454" w:rsidP="00550454">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61CA1450" w14:textId="77777777" w:rsidR="00550454" w:rsidRPr="008D3468" w:rsidRDefault="00550454" w:rsidP="00550454">
      <w:pPr>
        <w:rPr>
          <w:rFonts w:ascii="CorpoS" w:hAnsi="CorpoS"/>
          <w:sz w:val="16"/>
          <w:szCs w:val="16"/>
        </w:rPr>
      </w:pPr>
    </w:p>
    <w:p w14:paraId="207A2AB7" w14:textId="77777777" w:rsidR="00550454" w:rsidRPr="00C51A14" w:rsidRDefault="00550454" w:rsidP="00550454">
      <w:pPr>
        <w:ind w:right="-1"/>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09C5664E" w14:textId="77777777" w:rsidR="00DD64E9" w:rsidRPr="008D3468" w:rsidRDefault="00DD64E9" w:rsidP="00550454">
      <w:pPr>
        <w:ind w:right="1984"/>
        <w:jc w:val="both"/>
        <w:rPr>
          <w:rFonts w:ascii="CorpoS" w:hAnsi="CorpoS"/>
          <w:b/>
          <w:sz w:val="22"/>
          <w:szCs w:val="22"/>
        </w:rPr>
      </w:pPr>
    </w:p>
    <w:sectPr w:rsidR="00DD64E9" w:rsidRPr="008D3468"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6AB0" w14:textId="77777777" w:rsidR="001800ED" w:rsidRDefault="001800ED">
      <w:r>
        <w:separator/>
      </w:r>
    </w:p>
  </w:endnote>
  <w:endnote w:type="continuationSeparator" w:id="0">
    <w:p w14:paraId="33BDDE9B" w14:textId="77777777" w:rsidR="001800ED" w:rsidRDefault="0018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6AA9" w14:textId="77777777"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358E" w14:textId="77777777"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14:paraId="7ADD8557" w14:textId="77777777"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14:paraId="1F514502" w14:textId="77777777" w:rsidR="0095192C" w:rsidRPr="00150467" w:rsidRDefault="0095192C">
    <w:pPr>
      <w:pStyle w:val="Fuzeile"/>
      <w:spacing w:line="160" w:lineRule="exact"/>
      <w:rPr>
        <w:rFonts w:ascii="CorpoS" w:hAnsi="CorpoS"/>
        <w:color w:val="000000"/>
        <w:sz w:val="15"/>
      </w:rPr>
    </w:pPr>
    <w:r>
      <w:rPr>
        <w:rFonts w:ascii="CorpoS" w:hAnsi="CorpoS"/>
        <w:color w:val="000000"/>
        <w:sz w:val="15"/>
      </w:rPr>
      <w:t>and Public Affairs</w:t>
    </w:r>
  </w:p>
  <w:p w14:paraId="0BD10E82" w14:textId="77777777" w:rsidR="0095192C" w:rsidRPr="00150467" w:rsidRDefault="0095192C">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6E264E37" w14:textId="77777777" w:rsidR="0095192C" w:rsidRDefault="0095192C">
    <w:pPr>
      <w:pStyle w:val="Fuzeile"/>
      <w:spacing w:line="160" w:lineRule="exact"/>
      <w:rPr>
        <w:rFonts w:ascii="CorpoS" w:hAnsi="CorpoS"/>
        <w:color w:val="000000"/>
        <w:sz w:val="15"/>
      </w:rPr>
    </w:pPr>
    <w:r>
      <w:rPr>
        <w:rFonts w:ascii="CorpoS" w:hAnsi="CorpoS"/>
        <w:color w:val="000000"/>
        <w:sz w:val="15"/>
      </w:rPr>
      <w:t>80995 Munich • Germany</w:t>
    </w:r>
  </w:p>
  <w:p w14:paraId="4E938EA3" w14:textId="77777777"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89-26 98</w:t>
    </w:r>
  </w:p>
  <w:p w14:paraId="0DD3EA65" w14:textId="77777777"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15D3DCBE" w14:textId="77777777" w:rsidR="0095192C" w:rsidRDefault="0095192C">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85FE" w14:textId="77777777" w:rsidR="001800ED" w:rsidRDefault="001800ED">
      <w:r>
        <w:separator/>
      </w:r>
    </w:p>
  </w:footnote>
  <w:footnote w:type="continuationSeparator" w:id="0">
    <w:p w14:paraId="05F98256" w14:textId="77777777" w:rsidR="001800ED" w:rsidRDefault="0018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2C3D" w14:textId="77777777"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D228F6" wp14:editId="657A280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32A7" w14:textId="77777777" w:rsidR="0095192C" w:rsidRPr="00A775D8" w:rsidRDefault="0095192C"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1A5F6DE4" wp14:editId="5A077E45">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FAC6" w14:textId="77777777" w:rsidR="0095192C" w:rsidRPr="00507889" w:rsidRDefault="0095192C"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6C8410FA" wp14:editId="218C46F3">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D24C" w14:textId="77777777" w:rsidR="0095192C" w:rsidRPr="00550454" w:rsidRDefault="0095192C" w:rsidP="00B57AE5">
                          <w:pPr>
                            <w:tabs>
                              <w:tab w:val="right" w:pos="2268"/>
                            </w:tabs>
                            <w:rPr>
                              <w:rFonts w:ascii="CorpoSLig" w:hAnsi="CorpoSLig"/>
                              <w:b/>
                              <w:sz w:val="32"/>
                              <w:szCs w:val="32"/>
                            </w:rPr>
                          </w:pPr>
                          <w:r>
                            <w:rPr>
                              <w:rFonts w:ascii="CorpoSLig" w:hAnsi="CorpoSLig"/>
                              <w:b/>
                              <w:sz w:val="32"/>
                              <w:szCs w:val="32"/>
                            </w:rPr>
                            <w:tab/>
                            <w:t xml:space="preserve">                        Press Release</w:t>
                          </w:r>
                        </w:p>
                        <w:p w14:paraId="68257DA1" w14:textId="77777777"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079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550454" w:rsidRDefault="0095192C"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Press 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D8AA322" wp14:editId="6AA1146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FF12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00F4A0F" w14:textId="77777777"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50EB"/>
    <w:rsid w:val="00007718"/>
    <w:rsid w:val="00010145"/>
    <w:rsid w:val="00010BAE"/>
    <w:rsid w:val="00014216"/>
    <w:rsid w:val="00014295"/>
    <w:rsid w:val="0001625B"/>
    <w:rsid w:val="000165E8"/>
    <w:rsid w:val="00017987"/>
    <w:rsid w:val="0002022E"/>
    <w:rsid w:val="00020CA2"/>
    <w:rsid w:val="00026E42"/>
    <w:rsid w:val="00031ACB"/>
    <w:rsid w:val="00034C1E"/>
    <w:rsid w:val="0004012A"/>
    <w:rsid w:val="0004088F"/>
    <w:rsid w:val="00041CEC"/>
    <w:rsid w:val="00042608"/>
    <w:rsid w:val="000468B9"/>
    <w:rsid w:val="00046D7A"/>
    <w:rsid w:val="00050992"/>
    <w:rsid w:val="00051E60"/>
    <w:rsid w:val="00053AE0"/>
    <w:rsid w:val="00053D85"/>
    <w:rsid w:val="00065075"/>
    <w:rsid w:val="000653A2"/>
    <w:rsid w:val="0006552A"/>
    <w:rsid w:val="000706B8"/>
    <w:rsid w:val="00072045"/>
    <w:rsid w:val="00073BEA"/>
    <w:rsid w:val="00074142"/>
    <w:rsid w:val="000746AA"/>
    <w:rsid w:val="00074F55"/>
    <w:rsid w:val="0007603C"/>
    <w:rsid w:val="00084883"/>
    <w:rsid w:val="000860C0"/>
    <w:rsid w:val="000927B0"/>
    <w:rsid w:val="000939E0"/>
    <w:rsid w:val="00094DD7"/>
    <w:rsid w:val="00095C96"/>
    <w:rsid w:val="000968D4"/>
    <w:rsid w:val="000A050F"/>
    <w:rsid w:val="000A1616"/>
    <w:rsid w:val="000A6390"/>
    <w:rsid w:val="000A65E0"/>
    <w:rsid w:val="000B052E"/>
    <w:rsid w:val="000B2DE3"/>
    <w:rsid w:val="000B5FA3"/>
    <w:rsid w:val="000B67F6"/>
    <w:rsid w:val="000B75C0"/>
    <w:rsid w:val="000C09A7"/>
    <w:rsid w:val="000C1A76"/>
    <w:rsid w:val="000C21BA"/>
    <w:rsid w:val="000C4212"/>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76577"/>
    <w:rsid w:val="001800ED"/>
    <w:rsid w:val="001802C4"/>
    <w:rsid w:val="00181D71"/>
    <w:rsid w:val="001837BB"/>
    <w:rsid w:val="001877EE"/>
    <w:rsid w:val="001938FE"/>
    <w:rsid w:val="00197CF5"/>
    <w:rsid w:val="001A47CB"/>
    <w:rsid w:val="001B1501"/>
    <w:rsid w:val="001B1AE3"/>
    <w:rsid w:val="001B21AD"/>
    <w:rsid w:val="001B434D"/>
    <w:rsid w:val="001B44D2"/>
    <w:rsid w:val="001B4E52"/>
    <w:rsid w:val="001C403E"/>
    <w:rsid w:val="001C53D3"/>
    <w:rsid w:val="001C5559"/>
    <w:rsid w:val="001C5F28"/>
    <w:rsid w:val="001C651B"/>
    <w:rsid w:val="001C6A69"/>
    <w:rsid w:val="001C725D"/>
    <w:rsid w:val="001D4D29"/>
    <w:rsid w:val="001D5D33"/>
    <w:rsid w:val="001E053A"/>
    <w:rsid w:val="001E0F56"/>
    <w:rsid w:val="001E5591"/>
    <w:rsid w:val="001E56B3"/>
    <w:rsid w:val="001E5784"/>
    <w:rsid w:val="001E6042"/>
    <w:rsid w:val="001E71BD"/>
    <w:rsid w:val="001F304E"/>
    <w:rsid w:val="001F4294"/>
    <w:rsid w:val="001F5A14"/>
    <w:rsid w:val="002037D9"/>
    <w:rsid w:val="00204B1C"/>
    <w:rsid w:val="0021191F"/>
    <w:rsid w:val="0021633B"/>
    <w:rsid w:val="00222DEF"/>
    <w:rsid w:val="0022336E"/>
    <w:rsid w:val="00224BEC"/>
    <w:rsid w:val="00226166"/>
    <w:rsid w:val="00226271"/>
    <w:rsid w:val="002335C6"/>
    <w:rsid w:val="00233F66"/>
    <w:rsid w:val="00236E3A"/>
    <w:rsid w:val="00237253"/>
    <w:rsid w:val="00237422"/>
    <w:rsid w:val="00243792"/>
    <w:rsid w:val="002437FE"/>
    <w:rsid w:val="00245B50"/>
    <w:rsid w:val="00251399"/>
    <w:rsid w:val="00252060"/>
    <w:rsid w:val="00254406"/>
    <w:rsid w:val="00254EE7"/>
    <w:rsid w:val="00256BAD"/>
    <w:rsid w:val="00261A60"/>
    <w:rsid w:val="002654C2"/>
    <w:rsid w:val="002675FE"/>
    <w:rsid w:val="00270DD3"/>
    <w:rsid w:val="00280197"/>
    <w:rsid w:val="00281AA0"/>
    <w:rsid w:val="0028258E"/>
    <w:rsid w:val="00283DE0"/>
    <w:rsid w:val="00285633"/>
    <w:rsid w:val="00291085"/>
    <w:rsid w:val="0029213E"/>
    <w:rsid w:val="0029575D"/>
    <w:rsid w:val="00296646"/>
    <w:rsid w:val="002966FA"/>
    <w:rsid w:val="002A3DF2"/>
    <w:rsid w:val="002A4079"/>
    <w:rsid w:val="002A57D3"/>
    <w:rsid w:val="002A63C8"/>
    <w:rsid w:val="002B2710"/>
    <w:rsid w:val="002B6B5C"/>
    <w:rsid w:val="002B7FD7"/>
    <w:rsid w:val="002C1173"/>
    <w:rsid w:val="002C187E"/>
    <w:rsid w:val="002C2796"/>
    <w:rsid w:val="002C3218"/>
    <w:rsid w:val="002C3897"/>
    <w:rsid w:val="002C6BB7"/>
    <w:rsid w:val="002D758E"/>
    <w:rsid w:val="002E028E"/>
    <w:rsid w:val="002E26A8"/>
    <w:rsid w:val="002E2DB5"/>
    <w:rsid w:val="002E3646"/>
    <w:rsid w:val="002E648F"/>
    <w:rsid w:val="002F08EC"/>
    <w:rsid w:val="002F76AF"/>
    <w:rsid w:val="00300A57"/>
    <w:rsid w:val="003018DF"/>
    <w:rsid w:val="00301C3F"/>
    <w:rsid w:val="00304933"/>
    <w:rsid w:val="00305E13"/>
    <w:rsid w:val="00310230"/>
    <w:rsid w:val="00310B01"/>
    <w:rsid w:val="00310E95"/>
    <w:rsid w:val="00311CAE"/>
    <w:rsid w:val="00312B14"/>
    <w:rsid w:val="00315DEF"/>
    <w:rsid w:val="00316554"/>
    <w:rsid w:val="00322F67"/>
    <w:rsid w:val="00324FB1"/>
    <w:rsid w:val="00325951"/>
    <w:rsid w:val="00326FA3"/>
    <w:rsid w:val="003303C8"/>
    <w:rsid w:val="003306E0"/>
    <w:rsid w:val="003310E2"/>
    <w:rsid w:val="003329A3"/>
    <w:rsid w:val="00332B8F"/>
    <w:rsid w:val="0033394A"/>
    <w:rsid w:val="0033551C"/>
    <w:rsid w:val="0033584F"/>
    <w:rsid w:val="0033739C"/>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7475"/>
    <w:rsid w:val="0038142E"/>
    <w:rsid w:val="003819E0"/>
    <w:rsid w:val="003839FD"/>
    <w:rsid w:val="003875F7"/>
    <w:rsid w:val="00390A09"/>
    <w:rsid w:val="00392F50"/>
    <w:rsid w:val="00395D27"/>
    <w:rsid w:val="003A20E2"/>
    <w:rsid w:val="003A2477"/>
    <w:rsid w:val="003A2718"/>
    <w:rsid w:val="003A5EDA"/>
    <w:rsid w:val="003A74C1"/>
    <w:rsid w:val="003A74F5"/>
    <w:rsid w:val="003A76AD"/>
    <w:rsid w:val="003B2216"/>
    <w:rsid w:val="003B2492"/>
    <w:rsid w:val="003B29C2"/>
    <w:rsid w:val="003B6AB4"/>
    <w:rsid w:val="003B6BFB"/>
    <w:rsid w:val="003B6D76"/>
    <w:rsid w:val="003C1344"/>
    <w:rsid w:val="003D1233"/>
    <w:rsid w:val="003D274C"/>
    <w:rsid w:val="003D33B5"/>
    <w:rsid w:val="003D5871"/>
    <w:rsid w:val="003E1CF0"/>
    <w:rsid w:val="003E2208"/>
    <w:rsid w:val="003E220C"/>
    <w:rsid w:val="003E23F9"/>
    <w:rsid w:val="003E3341"/>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238EB"/>
    <w:rsid w:val="00424F72"/>
    <w:rsid w:val="0043198B"/>
    <w:rsid w:val="00433A66"/>
    <w:rsid w:val="004429B1"/>
    <w:rsid w:val="004446FE"/>
    <w:rsid w:val="00444D67"/>
    <w:rsid w:val="004470D8"/>
    <w:rsid w:val="00454081"/>
    <w:rsid w:val="00456BA4"/>
    <w:rsid w:val="00460017"/>
    <w:rsid w:val="00462E55"/>
    <w:rsid w:val="0046413D"/>
    <w:rsid w:val="00466DC0"/>
    <w:rsid w:val="0047165E"/>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4F7648"/>
    <w:rsid w:val="0050557B"/>
    <w:rsid w:val="00507889"/>
    <w:rsid w:val="00510172"/>
    <w:rsid w:val="005106C2"/>
    <w:rsid w:val="00511729"/>
    <w:rsid w:val="00513ADD"/>
    <w:rsid w:val="00514F13"/>
    <w:rsid w:val="005159F9"/>
    <w:rsid w:val="005200F5"/>
    <w:rsid w:val="00522C52"/>
    <w:rsid w:val="00526D8D"/>
    <w:rsid w:val="00531724"/>
    <w:rsid w:val="00532315"/>
    <w:rsid w:val="0054129D"/>
    <w:rsid w:val="0054532F"/>
    <w:rsid w:val="00545B78"/>
    <w:rsid w:val="00550454"/>
    <w:rsid w:val="005504E4"/>
    <w:rsid w:val="0055464F"/>
    <w:rsid w:val="00556F66"/>
    <w:rsid w:val="005660B5"/>
    <w:rsid w:val="00567B1D"/>
    <w:rsid w:val="00572802"/>
    <w:rsid w:val="0057799D"/>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2EC5"/>
    <w:rsid w:val="005C4C5C"/>
    <w:rsid w:val="005C6A8C"/>
    <w:rsid w:val="005C72C5"/>
    <w:rsid w:val="005D0B30"/>
    <w:rsid w:val="005D1477"/>
    <w:rsid w:val="005D2F3B"/>
    <w:rsid w:val="005D3B31"/>
    <w:rsid w:val="005D644D"/>
    <w:rsid w:val="005D737B"/>
    <w:rsid w:val="005E1D59"/>
    <w:rsid w:val="005E2F6D"/>
    <w:rsid w:val="005E3FE9"/>
    <w:rsid w:val="005E64C5"/>
    <w:rsid w:val="005F1A59"/>
    <w:rsid w:val="005F55C7"/>
    <w:rsid w:val="005F653E"/>
    <w:rsid w:val="005F6B07"/>
    <w:rsid w:val="005F6FFC"/>
    <w:rsid w:val="005F7800"/>
    <w:rsid w:val="00601381"/>
    <w:rsid w:val="0060201F"/>
    <w:rsid w:val="00602DEE"/>
    <w:rsid w:val="00603DF3"/>
    <w:rsid w:val="00607764"/>
    <w:rsid w:val="00610CEE"/>
    <w:rsid w:val="006140A4"/>
    <w:rsid w:val="00614A3F"/>
    <w:rsid w:val="006156F6"/>
    <w:rsid w:val="00616F28"/>
    <w:rsid w:val="00617CAA"/>
    <w:rsid w:val="00630AAF"/>
    <w:rsid w:val="00632904"/>
    <w:rsid w:val="00633E84"/>
    <w:rsid w:val="0063592C"/>
    <w:rsid w:val="00636522"/>
    <w:rsid w:val="006379B7"/>
    <w:rsid w:val="00640206"/>
    <w:rsid w:val="00645AA4"/>
    <w:rsid w:val="006466E5"/>
    <w:rsid w:val="0064798B"/>
    <w:rsid w:val="006514A1"/>
    <w:rsid w:val="0065197B"/>
    <w:rsid w:val="0065327F"/>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754"/>
    <w:rsid w:val="00742FCE"/>
    <w:rsid w:val="007527E9"/>
    <w:rsid w:val="00755EB4"/>
    <w:rsid w:val="007575AF"/>
    <w:rsid w:val="00757670"/>
    <w:rsid w:val="00760EE0"/>
    <w:rsid w:val="00761A2B"/>
    <w:rsid w:val="0076577A"/>
    <w:rsid w:val="00766743"/>
    <w:rsid w:val="007719C7"/>
    <w:rsid w:val="00772834"/>
    <w:rsid w:val="007729D7"/>
    <w:rsid w:val="00777308"/>
    <w:rsid w:val="0077756B"/>
    <w:rsid w:val="007801BC"/>
    <w:rsid w:val="00783811"/>
    <w:rsid w:val="0078769A"/>
    <w:rsid w:val="007902FC"/>
    <w:rsid w:val="007908C0"/>
    <w:rsid w:val="0079113C"/>
    <w:rsid w:val="0079424F"/>
    <w:rsid w:val="00795E58"/>
    <w:rsid w:val="007A0340"/>
    <w:rsid w:val="007A0798"/>
    <w:rsid w:val="007A097C"/>
    <w:rsid w:val="007A2358"/>
    <w:rsid w:val="007A3449"/>
    <w:rsid w:val="007A63C5"/>
    <w:rsid w:val="007A7E57"/>
    <w:rsid w:val="007B1097"/>
    <w:rsid w:val="007B1A7A"/>
    <w:rsid w:val="007B1BE7"/>
    <w:rsid w:val="007B301A"/>
    <w:rsid w:val="007B36B4"/>
    <w:rsid w:val="007C0D1C"/>
    <w:rsid w:val="007C5879"/>
    <w:rsid w:val="007D020C"/>
    <w:rsid w:val="007D3740"/>
    <w:rsid w:val="007D3742"/>
    <w:rsid w:val="007D4A4F"/>
    <w:rsid w:val="007D4FCF"/>
    <w:rsid w:val="007D5ABB"/>
    <w:rsid w:val="007D6BD6"/>
    <w:rsid w:val="007E0312"/>
    <w:rsid w:val="007E1570"/>
    <w:rsid w:val="007E25F1"/>
    <w:rsid w:val="007E7CA5"/>
    <w:rsid w:val="007F1881"/>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2DF7"/>
    <w:rsid w:val="00826A11"/>
    <w:rsid w:val="008271DD"/>
    <w:rsid w:val="00831FA3"/>
    <w:rsid w:val="00832937"/>
    <w:rsid w:val="00833404"/>
    <w:rsid w:val="00835CAF"/>
    <w:rsid w:val="00837CB6"/>
    <w:rsid w:val="00840ED4"/>
    <w:rsid w:val="008418A1"/>
    <w:rsid w:val="008418A3"/>
    <w:rsid w:val="0084218C"/>
    <w:rsid w:val="00846648"/>
    <w:rsid w:val="00846A44"/>
    <w:rsid w:val="00846D10"/>
    <w:rsid w:val="00851896"/>
    <w:rsid w:val="00853255"/>
    <w:rsid w:val="0085541A"/>
    <w:rsid w:val="0086110A"/>
    <w:rsid w:val="008612D6"/>
    <w:rsid w:val="00861B6F"/>
    <w:rsid w:val="00864949"/>
    <w:rsid w:val="00872C46"/>
    <w:rsid w:val="00875D2C"/>
    <w:rsid w:val="00880619"/>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6409"/>
    <w:rsid w:val="008B70A2"/>
    <w:rsid w:val="008C2911"/>
    <w:rsid w:val="008C2D2D"/>
    <w:rsid w:val="008C3580"/>
    <w:rsid w:val="008C7FB8"/>
    <w:rsid w:val="008D122C"/>
    <w:rsid w:val="008D1722"/>
    <w:rsid w:val="008D3468"/>
    <w:rsid w:val="008D3F07"/>
    <w:rsid w:val="008D5F6B"/>
    <w:rsid w:val="008D7CDD"/>
    <w:rsid w:val="008E3B41"/>
    <w:rsid w:val="008F0DAC"/>
    <w:rsid w:val="00907BC3"/>
    <w:rsid w:val="00914C01"/>
    <w:rsid w:val="00917918"/>
    <w:rsid w:val="009206E6"/>
    <w:rsid w:val="00922889"/>
    <w:rsid w:val="00923D30"/>
    <w:rsid w:val="0092750A"/>
    <w:rsid w:val="00932903"/>
    <w:rsid w:val="0093526E"/>
    <w:rsid w:val="00936459"/>
    <w:rsid w:val="009417A2"/>
    <w:rsid w:val="009436EA"/>
    <w:rsid w:val="00944FAD"/>
    <w:rsid w:val="009451BC"/>
    <w:rsid w:val="009465F4"/>
    <w:rsid w:val="00946D8D"/>
    <w:rsid w:val="00947620"/>
    <w:rsid w:val="00947BA9"/>
    <w:rsid w:val="00950960"/>
    <w:rsid w:val="009510EF"/>
    <w:rsid w:val="0095192C"/>
    <w:rsid w:val="009528E0"/>
    <w:rsid w:val="00953872"/>
    <w:rsid w:val="00953F4D"/>
    <w:rsid w:val="00955146"/>
    <w:rsid w:val="00956671"/>
    <w:rsid w:val="00960F63"/>
    <w:rsid w:val="0096124D"/>
    <w:rsid w:val="00962C3D"/>
    <w:rsid w:val="00963D45"/>
    <w:rsid w:val="0096629A"/>
    <w:rsid w:val="00970F2A"/>
    <w:rsid w:val="00971E42"/>
    <w:rsid w:val="00973435"/>
    <w:rsid w:val="00973C57"/>
    <w:rsid w:val="00974D59"/>
    <w:rsid w:val="00977BA5"/>
    <w:rsid w:val="00977BC9"/>
    <w:rsid w:val="00982B92"/>
    <w:rsid w:val="00984BD9"/>
    <w:rsid w:val="00991E03"/>
    <w:rsid w:val="00992CD8"/>
    <w:rsid w:val="00993D5F"/>
    <w:rsid w:val="00994D72"/>
    <w:rsid w:val="009959F2"/>
    <w:rsid w:val="00995C51"/>
    <w:rsid w:val="0099749E"/>
    <w:rsid w:val="00997AC3"/>
    <w:rsid w:val="009B0949"/>
    <w:rsid w:val="009B0DD6"/>
    <w:rsid w:val="009B22E6"/>
    <w:rsid w:val="009B248F"/>
    <w:rsid w:val="009B4DFE"/>
    <w:rsid w:val="009B609B"/>
    <w:rsid w:val="009B69B0"/>
    <w:rsid w:val="009C049E"/>
    <w:rsid w:val="009C19B6"/>
    <w:rsid w:val="009D2AF7"/>
    <w:rsid w:val="009D35D0"/>
    <w:rsid w:val="009D6E33"/>
    <w:rsid w:val="009E0A17"/>
    <w:rsid w:val="009E2D48"/>
    <w:rsid w:val="009E4721"/>
    <w:rsid w:val="009E481E"/>
    <w:rsid w:val="009E49E6"/>
    <w:rsid w:val="009E566C"/>
    <w:rsid w:val="009E62BA"/>
    <w:rsid w:val="009F448D"/>
    <w:rsid w:val="009F59E0"/>
    <w:rsid w:val="00A00915"/>
    <w:rsid w:val="00A0180E"/>
    <w:rsid w:val="00A03882"/>
    <w:rsid w:val="00A06B1D"/>
    <w:rsid w:val="00A11604"/>
    <w:rsid w:val="00A159D4"/>
    <w:rsid w:val="00A169FE"/>
    <w:rsid w:val="00A176DB"/>
    <w:rsid w:val="00A2077D"/>
    <w:rsid w:val="00A21093"/>
    <w:rsid w:val="00A22432"/>
    <w:rsid w:val="00A246F0"/>
    <w:rsid w:val="00A249DF"/>
    <w:rsid w:val="00A3286E"/>
    <w:rsid w:val="00A35C99"/>
    <w:rsid w:val="00A40FB0"/>
    <w:rsid w:val="00A43C45"/>
    <w:rsid w:val="00A449B8"/>
    <w:rsid w:val="00A4513B"/>
    <w:rsid w:val="00A5066E"/>
    <w:rsid w:val="00A52533"/>
    <w:rsid w:val="00A52FED"/>
    <w:rsid w:val="00A5431B"/>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6253"/>
    <w:rsid w:val="00B06F7B"/>
    <w:rsid w:val="00B076D6"/>
    <w:rsid w:val="00B121FD"/>
    <w:rsid w:val="00B12B4A"/>
    <w:rsid w:val="00B14568"/>
    <w:rsid w:val="00B17715"/>
    <w:rsid w:val="00B22562"/>
    <w:rsid w:val="00B248E8"/>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4952"/>
    <w:rsid w:val="00B977C5"/>
    <w:rsid w:val="00BA047C"/>
    <w:rsid w:val="00BA326C"/>
    <w:rsid w:val="00BA6BBE"/>
    <w:rsid w:val="00BB2E97"/>
    <w:rsid w:val="00BB5475"/>
    <w:rsid w:val="00BB5BB1"/>
    <w:rsid w:val="00BB5BC7"/>
    <w:rsid w:val="00BC0404"/>
    <w:rsid w:val="00BC0EFB"/>
    <w:rsid w:val="00BC26AC"/>
    <w:rsid w:val="00BC6FF6"/>
    <w:rsid w:val="00BC7C0F"/>
    <w:rsid w:val="00BD03D1"/>
    <w:rsid w:val="00BD0659"/>
    <w:rsid w:val="00BD4F3C"/>
    <w:rsid w:val="00BD5A1A"/>
    <w:rsid w:val="00BD6608"/>
    <w:rsid w:val="00BE0256"/>
    <w:rsid w:val="00BE55B6"/>
    <w:rsid w:val="00BE5BA9"/>
    <w:rsid w:val="00BF1510"/>
    <w:rsid w:val="00BF24EA"/>
    <w:rsid w:val="00BF53D7"/>
    <w:rsid w:val="00C022E0"/>
    <w:rsid w:val="00C037D7"/>
    <w:rsid w:val="00C0727F"/>
    <w:rsid w:val="00C11438"/>
    <w:rsid w:val="00C11F8D"/>
    <w:rsid w:val="00C145B3"/>
    <w:rsid w:val="00C1543B"/>
    <w:rsid w:val="00C16B05"/>
    <w:rsid w:val="00C17B16"/>
    <w:rsid w:val="00C17F58"/>
    <w:rsid w:val="00C2003F"/>
    <w:rsid w:val="00C231BC"/>
    <w:rsid w:val="00C24105"/>
    <w:rsid w:val="00C24280"/>
    <w:rsid w:val="00C25BB5"/>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3836"/>
    <w:rsid w:val="00C65DE1"/>
    <w:rsid w:val="00C66179"/>
    <w:rsid w:val="00C73544"/>
    <w:rsid w:val="00C74BED"/>
    <w:rsid w:val="00C771EC"/>
    <w:rsid w:val="00C80C6B"/>
    <w:rsid w:val="00C80F39"/>
    <w:rsid w:val="00C8223C"/>
    <w:rsid w:val="00C84525"/>
    <w:rsid w:val="00C84921"/>
    <w:rsid w:val="00C87C1C"/>
    <w:rsid w:val="00C91E70"/>
    <w:rsid w:val="00C9409F"/>
    <w:rsid w:val="00C95373"/>
    <w:rsid w:val="00C969D6"/>
    <w:rsid w:val="00CA302C"/>
    <w:rsid w:val="00CA4EE5"/>
    <w:rsid w:val="00CA54AE"/>
    <w:rsid w:val="00CA5D55"/>
    <w:rsid w:val="00CA6346"/>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2646"/>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70BDA"/>
    <w:rsid w:val="00D73883"/>
    <w:rsid w:val="00D76C52"/>
    <w:rsid w:val="00D822B2"/>
    <w:rsid w:val="00D91CB2"/>
    <w:rsid w:val="00D94AE8"/>
    <w:rsid w:val="00DA0900"/>
    <w:rsid w:val="00DB545D"/>
    <w:rsid w:val="00DC029B"/>
    <w:rsid w:val="00DC1516"/>
    <w:rsid w:val="00DC3B2E"/>
    <w:rsid w:val="00DC4FCF"/>
    <w:rsid w:val="00DD18E9"/>
    <w:rsid w:val="00DD64E9"/>
    <w:rsid w:val="00DD6965"/>
    <w:rsid w:val="00DD6C03"/>
    <w:rsid w:val="00DD6DD3"/>
    <w:rsid w:val="00DD7223"/>
    <w:rsid w:val="00DD7DC5"/>
    <w:rsid w:val="00DE06BA"/>
    <w:rsid w:val="00DE2CA9"/>
    <w:rsid w:val="00DE3D5A"/>
    <w:rsid w:val="00DF2E8C"/>
    <w:rsid w:val="00DF4118"/>
    <w:rsid w:val="00DF69E2"/>
    <w:rsid w:val="00E0004F"/>
    <w:rsid w:val="00E01E18"/>
    <w:rsid w:val="00E05BC3"/>
    <w:rsid w:val="00E10840"/>
    <w:rsid w:val="00E11A77"/>
    <w:rsid w:val="00E1645F"/>
    <w:rsid w:val="00E27BCF"/>
    <w:rsid w:val="00E3381D"/>
    <w:rsid w:val="00E33E21"/>
    <w:rsid w:val="00E347A0"/>
    <w:rsid w:val="00E35063"/>
    <w:rsid w:val="00E4144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41DD"/>
    <w:rsid w:val="00EA53BC"/>
    <w:rsid w:val="00EA5CF6"/>
    <w:rsid w:val="00EA6CE3"/>
    <w:rsid w:val="00EB06AB"/>
    <w:rsid w:val="00EB133C"/>
    <w:rsid w:val="00EB4225"/>
    <w:rsid w:val="00EB53A5"/>
    <w:rsid w:val="00EB62E7"/>
    <w:rsid w:val="00EB772E"/>
    <w:rsid w:val="00EB79AD"/>
    <w:rsid w:val="00EC0479"/>
    <w:rsid w:val="00EC07EB"/>
    <w:rsid w:val="00EC36F8"/>
    <w:rsid w:val="00EC6E52"/>
    <w:rsid w:val="00ED1D33"/>
    <w:rsid w:val="00ED212E"/>
    <w:rsid w:val="00ED4D30"/>
    <w:rsid w:val="00ED7F59"/>
    <w:rsid w:val="00EE0536"/>
    <w:rsid w:val="00EF0128"/>
    <w:rsid w:val="00EF33F5"/>
    <w:rsid w:val="00EF58F9"/>
    <w:rsid w:val="00EF648D"/>
    <w:rsid w:val="00F008EE"/>
    <w:rsid w:val="00F027F8"/>
    <w:rsid w:val="00F04F74"/>
    <w:rsid w:val="00F058B7"/>
    <w:rsid w:val="00F065A8"/>
    <w:rsid w:val="00F075CF"/>
    <w:rsid w:val="00F07733"/>
    <w:rsid w:val="00F11B13"/>
    <w:rsid w:val="00F13C99"/>
    <w:rsid w:val="00F20A98"/>
    <w:rsid w:val="00F22834"/>
    <w:rsid w:val="00F235E3"/>
    <w:rsid w:val="00F24358"/>
    <w:rsid w:val="00F247EA"/>
    <w:rsid w:val="00F3273C"/>
    <w:rsid w:val="00F32996"/>
    <w:rsid w:val="00F356E8"/>
    <w:rsid w:val="00F364EE"/>
    <w:rsid w:val="00F37259"/>
    <w:rsid w:val="00F37D9C"/>
    <w:rsid w:val="00F440C4"/>
    <w:rsid w:val="00F4437C"/>
    <w:rsid w:val="00F56BAE"/>
    <w:rsid w:val="00F56FAC"/>
    <w:rsid w:val="00F570A5"/>
    <w:rsid w:val="00F57F86"/>
    <w:rsid w:val="00F6190B"/>
    <w:rsid w:val="00F66683"/>
    <w:rsid w:val="00F7257A"/>
    <w:rsid w:val="00F73387"/>
    <w:rsid w:val="00F81235"/>
    <w:rsid w:val="00F831AD"/>
    <w:rsid w:val="00F83948"/>
    <w:rsid w:val="00F84C1C"/>
    <w:rsid w:val="00F86A56"/>
    <w:rsid w:val="00F86B8D"/>
    <w:rsid w:val="00F87571"/>
    <w:rsid w:val="00F93910"/>
    <w:rsid w:val="00F94AF7"/>
    <w:rsid w:val="00F95C09"/>
    <w:rsid w:val="00F97C77"/>
    <w:rsid w:val="00FA2576"/>
    <w:rsid w:val="00FA4490"/>
    <w:rsid w:val="00FA7599"/>
    <w:rsid w:val="00FB0A76"/>
    <w:rsid w:val="00FB4BC6"/>
    <w:rsid w:val="00FB7861"/>
    <w:rsid w:val="00FB7BA5"/>
    <w:rsid w:val="00FC32FF"/>
    <w:rsid w:val="00FC33F7"/>
    <w:rsid w:val="00FC4028"/>
    <w:rsid w:val="00FC4643"/>
    <w:rsid w:val="00FC46FE"/>
    <w:rsid w:val="00FC74BC"/>
    <w:rsid w:val="00FD1D0E"/>
    <w:rsid w:val="00FD212F"/>
    <w:rsid w:val="00FD323A"/>
    <w:rsid w:val="00FD4667"/>
    <w:rsid w:val="00FE0D30"/>
    <w:rsid w:val="00FE1549"/>
    <w:rsid w:val="00FE30B8"/>
    <w:rsid w:val="00FE3689"/>
    <w:rsid w:val="00FE3C3A"/>
    <w:rsid w:val="00FF0402"/>
    <w:rsid w:val="00FF05AB"/>
    <w:rsid w:val="00FF4796"/>
    <w:rsid w:val="00FF50BD"/>
    <w:rsid w:val="00FF70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08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US"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US" w:eastAsia="en-US"/>
    </w:rPr>
  </w:style>
  <w:style w:type="paragraph" w:styleId="berarbeitung">
    <w:name w:val="Revision"/>
    <w:hidden/>
    <w:uiPriority w:val="99"/>
    <w:semiHidden/>
    <w:rsid w:val="00237422"/>
    <w:rPr>
      <w:sz w:val="24"/>
      <w:lang w:eastAsia="en-US"/>
    </w:rPr>
  </w:style>
  <w:style w:type="table" w:styleId="Tabellenraster">
    <w:name w:val="Table Grid"/>
    <w:basedOn w:val="NormaleTabelle"/>
    <w:rsid w:val="0033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958A-76F0-41E3-995F-17E150F3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6352</Characters>
  <Application>Microsoft Office Word</Application>
  <DocSecurity>2</DocSecurity>
  <Lines>52</Lines>
  <Paragraphs>14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7461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2020-11-16T09:17:00Z</dcterms:created>
  <dcterms:modified xsi:type="dcterms:W3CDTF">2020-11-18T10:12:00Z</dcterms:modified>
</cp:coreProperties>
</file>