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79B" w:rsidRPr="000C71C8" w:rsidRDefault="007A097C" w:rsidP="006707D7">
      <w:pPr>
        <w:tabs>
          <w:tab w:val="left" w:pos="9072"/>
        </w:tabs>
        <w:spacing w:line="300" w:lineRule="exact"/>
        <w:ind w:right="283"/>
        <w:jc w:val="both"/>
        <w:rPr>
          <w:rFonts w:ascii="CorpoS" w:hAnsi="CorpoS"/>
          <w:b/>
          <w:szCs w:val="24"/>
        </w:rPr>
      </w:pPr>
      <w:r>
        <w:rPr>
          <w:rFonts w:ascii="CorpoS" w:hAnsi="CorpoS"/>
          <w:b/>
          <w:szCs w:val="24"/>
        </w:rPr>
        <w:t>MTU Aero Engines publishe</w:t>
      </w:r>
      <w:r w:rsidR="006B0DF9">
        <w:rPr>
          <w:rFonts w:ascii="CorpoS" w:hAnsi="CorpoS"/>
          <w:b/>
          <w:szCs w:val="24"/>
        </w:rPr>
        <w:t>s</w:t>
      </w:r>
      <w:r>
        <w:rPr>
          <w:rFonts w:ascii="CorpoS" w:hAnsi="CorpoS"/>
          <w:b/>
          <w:szCs w:val="24"/>
        </w:rPr>
        <w:t xml:space="preserve"> short- and mid-term guidance at its Capital Market Day</w:t>
      </w:r>
    </w:p>
    <w:p w:rsidR="00126FF9" w:rsidRDefault="00734E9B" w:rsidP="001D01D5">
      <w:pPr>
        <w:numPr>
          <w:ilvl w:val="0"/>
          <w:numId w:val="11"/>
        </w:numPr>
        <w:tabs>
          <w:tab w:val="left" w:pos="9072"/>
        </w:tabs>
        <w:spacing w:line="300" w:lineRule="exact"/>
        <w:ind w:right="283"/>
        <w:jc w:val="both"/>
        <w:rPr>
          <w:rFonts w:ascii="CorpoS" w:hAnsi="CorpoS"/>
          <w:b/>
          <w:szCs w:val="24"/>
        </w:rPr>
      </w:pPr>
      <w:r>
        <w:rPr>
          <w:rFonts w:ascii="CorpoS" w:hAnsi="CorpoS"/>
          <w:b/>
          <w:szCs w:val="24"/>
        </w:rPr>
        <w:t>Revenue target 2022: €5.2 to €5.4 billion</w:t>
      </w:r>
    </w:p>
    <w:p w:rsidR="00734E9B" w:rsidRDefault="00734E9B" w:rsidP="001D01D5">
      <w:pPr>
        <w:numPr>
          <w:ilvl w:val="0"/>
          <w:numId w:val="11"/>
        </w:numPr>
        <w:tabs>
          <w:tab w:val="left" w:pos="9072"/>
        </w:tabs>
        <w:spacing w:line="300" w:lineRule="exact"/>
        <w:ind w:right="283"/>
        <w:jc w:val="both"/>
        <w:rPr>
          <w:rFonts w:ascii="CorpoS" w:hAnsi="CorpoS"/>
          <w:b/>
          <w:szCs w:val="24"/>
        </w:rPr>
      </w:pPr>
      <w:r>
        <w:rPr>
          <w:rFonts w:ascii="CorpoS" w:hAnsi="CorpoS"/>
          <w:b/>
          <w:szCs w:val="24"/>
        </w:rPr>
        <w:t>Adjusted EBIT should increase in the mid twent</w:t>
      </w:r>
      <w:r w:rsidR="00745362">
        <w:rPr>
          <w:rFonts w:ascii="CorpoS" w:hAnsi="CorpoS"/>
          <w:b/>
          <w:szCs w:val="24"/>
        </w:rPr>
        <w:t>y-percent range</w:t>
      </w:r>
      <w:r>
        <w:rPr>
          <w:rFonts w:ascii="CorpoS" w:hAnsi="CorpoS"/>
          <w:b/>
          <w:szCs w:val="24"/>
        </w:rPr>
        <w:t xml:space="preserve"> in 2022</w:t>
      </w:r>
    </w:p>
    <w:p w:rsidR="00734E9B" w:rsidRDefault="000B4D33" w:rsidP="00FF2B7C">
      <w:pPr>
        <w:numPr>
          <w:ilvl w:val="0"/>
          <w:numId w:val="11"/>
        </w:numPr>
        <w:tabs>
          <w:tab w:val="left" w:pos="9072"/>
        </w:tabs>
        <w:spacing w:line="300" w:lineRule="exact"/>
        <w:ind w:right="283"/>
        <w:jc w:val="both"/>
        <w:rPr>
          <w:rFonts w:ascii="CorpoS" w:hAnsi="CorpoS"/>
          <w:b/>
          <w:szCs w:val="24"/>
        </w:rPr>
      </w:pPr>
      <w:r>
        <w:rPr>
          <w:rFonts w:ascii="CorpoS" w:hAnsi="CorpoS"/>
          <w:b/>
          <w:szCs w:val="24"/>
        </w:rPr>
        <w:t xml:space="preserve">Sustained growth in all business </w:t>
      </w:r>
      <w:r w:rsidRPr="002B1697">
        <w:rPr>
          <w:rFonts w:ascii="CorpoS" w:hAnsi="CorpoS"/>
          <w:b/>
          <w:szCs w:val="24"/>
        </w:rPr>
        <w:t>areas</w:t>
      </w:r>
      <w:r>
        <w:rPr>
          <w:rFonts w:ascii="CorpoS" w:hAnsi="CorpoS"/>
          <w:b/>
          <w:szCs w:val="24"/>
        </w:rPr>
        <w:t xml:space="preserve"> up to 2024</w:t>
      </w:r>
    </w:p>
    <w:p w:rsidR="00C771EC" w:rsidRPr="00722873" w:rsidRDefault="00734E9B" w:rsidP="00FF2B7C">
      <w:pPr>
        <w:numPr>
          <w:ilvl w:val="0"/>
          <w:numId w:val="11"/>
        </w:numPr>
        <w:tabs>
          <w:tab w:val="left" w:pos="9072"/>
        </w:tabs>
        <w:spacing w:line="300" w:lineRule="exact"/>
        <w:ind w:right="283"/>
        <w:jc w:val="both"/>
        <w:rPr>
          <w:rFonts w:ascii="CorpoS" w:hAnsi="CorpoS"/>
          <w:b/>
          <w:szCs w:val="24"/>
        </w:rPr>
      </w:pPr>
      <w:r>
        <w:rPr>
          <w:rFonts w:ascii="CorpoS" w:hAnsi="CorpoS"/>
          <w:b/>
          <w:szCs w:val="24"/>
        </w:rPr>
        <w:t>Adjusted EBIT above the pre-crisis level by 2024</w:t>
      </w:r>
    </w:p>
    <w:p w:rsidR="00C51A14" w:rsidRPr="006B0DF9" w:rsidRDefault="00C51A14" w:rsidP="00C51A14">
      <w:pPr>
        <w:tabs>
          <w:tab w:val="left" w:pos="9072"/>
        </w:tabs>
        <w:spacing w:line="300" w:lineRule="exact"/>
        <w:ind w:right="283"/>
        <w:jc w:val="both"/>
        <w:rPr>
          <w:rFonts w:ascii="CorpoS" w:hAnsi="CorpoS"/>
          <w:b/>
          <w:color w:val="FF0000"/>
          <w:szCs w:val="24"/>
        </w:rPr>
      </w:pPr>
    </w:p>
    <w:p w:rsidR="00D14449" w:rsidRPr="00F5323E" w:rsidRDefault="00C51A14" w:rsidP="005F7800">
      <w:pPr>
        <w:tabs>
          <w:tab w:val="left" w:pos="7655"/>
          <w:tab w:val="left" w:pos="9072"/>
        </w:tabs>
        <w:spacing w:line="300" w:lineRule="exact"/>
        <w:ind w:right="283"/>
        <w:jc w:val="both"/>
        <w:rPr>
          <w:rFonts w:ascii="CorpoS" w:hAnsi="CorpoS"/>
          <w:szCs w:val="24"/>
        </w:rPr>
      </w:pPr>
      <w:r>
        <w:rPr>
          <w:rFonts w:ascii="CorpoS" w:hAnsi="CorpoS"/>
          <w:szCs w:val="24"/>
        </w:rPr>
        <w:t xml:space="preserve">Munich, November 18, 2021 – At its virtual Capital Market Day, MTU Aero Engines AG provided an initial outlook for 2022 and presented its mid-term growth plans. All business </w:t>
      </w:r>
      <w:r w:rsidRPr="002B1697">
        <w:rPr>
          <w:rFonts w:ascii="CorpoS" w:hAnsi="CorpoS"/>
          <w:szCs w:val="24"/>
        </w:rPr>
        <w:t>areas</w:t>
      </w:r>
      <w:r>
        <w:rPr>
          <w:rFonts w:ascii="CorpoS" w:hAnsi="CorpoS"/>
          <w:szCs w:val="24"/>
        </w:rPr>
        <w:t xml:space="preserve"> at MTU should post organic growth again in 2022. The company expects the clearest recovery from the effects of the coronavirus crisis to be in the commercial maintenance</w:t>
      </w:r>
      <w:r w:rsidR="002B1697">
        <w:rPr>
          <w:rFonts w:ascii="CorpoS" w:hAnsi="CorpoS"/>
          <w:szCs w:val="24"/>
        </w:rPr>
        <w:t xml:space="preserve"> business. Moreover, in the mid-</w:t>
      </w:r>
      <w:r>
        <w:rPr>
          <w:rFonts w:ascii="CorpoS" w:hAnsi="CorpoS"/>
          <w:szCs w:val="24"/>
        </w:rPr>
        <w:t xml:space="preserve">term MTU assumes an upturn in all business </w:t>
      </w:r>
      <w:r w:rsidRPr="002B1697">
        <w:rPr>
          <w:rFonts w:ascii="CorpoS" w:hAnsi="CorpoS"/>
          <w:szCs w:val="24"/>
        </w:rPr>
        <w:t>areas</w:t>
      </w:r>
      <w:r>
        <w:rPr>
          <w:rFonts w:ascii="CorpoS" w:hAnsi="CorpoS"/>
          <w:szCs w:val="24"/>
        </w:rPr>
        <w:t xml:space="preserve">. “The parameters for a sustained recovery in aviation are intact,” said Reiner Winkler, CEO of MTU Aero Engines AG. “MTU is well-positioned to return to its growth track in 2022, secure an above-average share of the recovery in the sector and therefore exceed the 2019 level by 2024.” Chief Financial Officer Peter </w:t>
      </w:r>
      <w:proofErr w:type="spellStart"/>
      <w:r>
        <w:rPr>
          <w:rFonts w:ascii="CorpoS" w:hAnsi="CorpoS"/>
          <w:szCs w:val="24"/>
        </w:rPr>
        <w:t>Kameritsch</w:t>
      </w:r>
      <w:proofErr w:type="spellEnd"/>
      <w:r>
        <w:rPr>
          <w:rFonts w:ascii="CorpoS" w:hAnsi="CorpoS"/>
          <w:szCs w:val="24"/>
        </w:rPr>
        <w:t xml:space="preserve"> gave more details: “We are forecasting revenue of between €5.2 and €5.4 </w:t>
      </w:r>
      <w:r w:rsidR="000638A5">
        <w:rPr>
          <w:rFonts w:ascii="CorpoS" w:hAnsi="CorpoS"/>
          <w:szCs w:val="24"/>
        </w:rPr>
        <w:br w:type="textWrapping" w:clear="all"/>
      </w:r>
      <w:r>
        <w:rPr>
          <w:rFonts w:ascii="CorpoS" w:hAnsi="CorpoS"/>
          <w:szCs w:val="24"/>
        </w:rPr>
        <w:t xml:space="preserve">billion in 2022 and </w:t>
      </w:r>
      <w:r w:rsidR="006B0DF9">
        <w:rPr>
          <w:rFonts w:ascii="CorpoS" w:hAnsi="CorpoS"/>
          <w:szCs w:val="24"/>
        </w:rPr>
        <w:t>steady</w:t>
      </w:r>
      <w:r>
        <w:rPr>
          <w:rFonts w:ascii="CorpoS" w:hAnsi="CorpoS"/>
          <w:szCs w:val="24"/>
        </w:rPr>
        <w:t xml:space="preserve"> revenue growth up to 2024. Adjusted EBIT should increase in the mid </w:t>
      </w:r>
      <w:r w:rsidR="005E4A4D">
        <w:rPr>
          <w:rFonts w:ascii="CorpoS" w:hAnsi="CorpoS"/>
          <w:szCs w:val="24"/>
        </w:rPr>
        <w:t>twenty-percent range</w:t>
      </w:r>
      <w:r>
        <w:rPr>
          <w:rFonts w:ascii="CorpoS" w:hAnsi="CorpoS"/>
          <w:szCs w:val="24"/>
        </w:rPr>
        <w:t xml:space="preserve"> in 2022 and adjusted net income should develop </w:t>
      </w:r>
      <w:r w:rsidR="006B0DF9">
        <w:rPr>
          <w:rFonts w:ascii="CorpoS" w:hAnsi="CorpoS"/>
          <w:szCs w:val="24"/>
        </w:rPr>
        <w:t>in line with</w:t>
      </w:r>
      <w:r>
        <w:rPr>
          <w:rFonts w:ascii="CorpoS" w:hAnsi="CorpoS"/>
          <w:szCs w:val="24"/>
        </w:rPr>
        <w:t xml:space="preserve"> adjusted EBIT. By 2024, adjusted EBIT should be above the pre-crisis level. We anticipate that by then the cash conversion rate will be in the high double-digit percentage range.”</w:t>
      </w:r>
    </w:p>
    <w:p w:rsidR="005F7800" w:rsidRPr="006B0DF9" w:rsidRDefault="005F7800" w:rsidP="00C51A14">
      <w:pPr>
        <w:tabs>
          <w:tab w:val="left" w:pos="7655"/>
          <w:tab w:val="left" w:pos="9072"/>
        </w:tabs>
        <w:spacing w:line="300" w:lineRule="exact"/>
        <w:ind w:right="283"/>
        <w:jc w:val="both"/>
        <w:rPr>
          <w:rFonts w:ascii="CorpoS" w:hAnsi="CorpoS"/>
          <w:color w:val="FF0000"/>
          <w:szCs w:val="24"/>
        </w:rPr>
      </w:pPr>
    </w:p>
    <w:p w:rsidR="00623E6F" w:rsidRDefault="00623E6F" w:rsidP="00623E6F">
      <w:pPr>
        <w:tabs>
          <w:tab w:val="left" w:pos="7655"/>
          <w:tab w:val="left" w:pos="7938"/>
        </w:tabs>
        <w:spacing w:line="300" w:lineRule="exact"/>
        <w:ind w:right="283"/>
        <w:jc w:val="both"/>
        <w:rPr>
          <w:rFonts w:ascii="CorpoS" w:hAnsi="CorpoS"/>
          <w:szCs w:val="24"/>
        </w:rPr>
      </w:pPr>
      <w:r>
        <w:rPr>
          <w:rFonts w:ascii="CorpoS" w:hAnsi="CorpoS"/>
          <w:szCs w:val="24"/>
        </w:rPr>
        <w:t xml:space="preserve">Commercial maintenance should show the strongest upward trend in 2022. MTU is forecasting organic revenue growth in the mid to high </w:t>
      </w:r>
      <w:r w:rsidR="007938F2">
        <w:rPr>
          <w:rFonts w:ascii="CorpoS" w:hAnsi="CorpoS"/>
          <w:szCs w:val="24"/>
        </w:rPr>
        <w:t>twent</w:t>
      </w:r>
      <w:r w:rsidR="00745362">
        <w:rPr>
          <w:rFonts w:ascii="CorpoS" w:hAnsi="CorpoS"/>
          <w:szCs w:val="24"/>
        </w:rPr>
        <w:t>y-</w:t>
      </w:r>
      <w:r>
        <w:rPr>
          <w:rFonts w:ascii="CorpoS" w:hAnsi="CorpoS"/>
          <w:szCs w:val="24"/>
        </w:rPr>
        <w:t>percent</w:t>
      </w:r>
      <w:r w:rsidR="007938F2">
        <w:rPr>
          <w:rFonts w:ascii="CorpoS" w:hAnsi="CorpoS"/>
          <w:szCs w:val="24"/>
        </w:rPr>
        <w:t>age</w:t>
      </w:r>
      <w:r>
        <w:rPr>
          <w:rFonts w:ascii="CorpoS" w:hAnsi="CorpoS"/>
          <w:szCs w:val="24"/>
        </w:rPr>
        <w:t xml:space="preserve"> range. In the period to 2024, the annual rise in revenue in the commercial maintenance business should be in the mid-teens percentage range. “The basis for the good growth prospects are our wide-ranging market </w:t>
      </w:r>
      <w:r w:rsidR="000638A5">
        <w:rPr>
          <w:rFonts w:ascii="CorpoS" w:hAnsi="CorpoS"/>
          <w:szCs w:val="24"/>
        </w:rPr>
        <w:br w:type="textWrapping" w:clear="all"/>
      </w:r>
      <w:r>
        <w:rPr>
          <w:rFonts w:ascii="CorpoS" w:hAnsi="CorpoS"/>
          <w:szCs w:val="24"/>
        </w:rPr>
        <w:t>access, our broad portfolio, our custom-tailored MRO solutions and our financial strength. Moreover, M</w:t>
      </w:r>
      <w:r w:rsidR="007938F2">
        <w:rPr>
          <w:rFonts w:ascii="CorpoS" w:hAnsi="CorpoS"/>
          <w:szCs w:val="24"/>
        </w:rPr>
        <w:t>TU</w:t>
      </w:r>
      <w:r>
        <w:rPr>
          <w:rFonts w:ascii="CorpoS" w:hAnsi="CorpoS"/>
          <w:szCs w:val="24"/>
        </w:rPr>
        <w:t xml:space="preserve"> has a strong </w:t>
      </w:r>
      <w:r w:rsidR="007938F2">
        <w:rPr>
          <w:rFonts w:ascii="CorpoS" w:hAnsi="CorpoS"/>
          <w:szCs w:val="24"/>
        </w:rPr>
        <w:t xml:space="preserve">MRO </w:t>
      </w:r>
      <w:r>
        <w:rPr>
          <w:rFonts w:ascii="CorpoS" w:hAnsi="CorpoS"/>
          <w:szCs w:val="24"/>
        </w:rPr>
        <w:t>order backlog, which is currently valued at U.S. $ 17.9 </w:t>
      </w:r>
      <w:r w:rsidR="000638A5">
        <w:rPr>
          <w:rFonts w:ascii="CorpoS" w:hAnsi="CorpoS"/>
          <w:szCs w:val="24"/>
        </w:rPr>
        <w:br w:type="textWrapping" w:clear="all"/>
      </w:r>
      <w:r>
        <w:rPr>
          <w:rFonts w:ascii="CorpoS" w:hAnsi="CorpoS"/>
          <w:szCs w:val="24"/>
        </w:rPr>
        <w:t xml:space="preserve">billion,” said Chief Program Officer Michael </w:t>
      </w:r>
      <w:proofErr w:type="spellStart"/>
      <w:r>
        <w:rPr>
          <w:rFonts w:ascii="CorpoS" w:hAnsi="CorpoS"/>
          <w:szCs w:val="24"/>
        </w:rPr>
        <w:t>Schreyögg</w:t>
      </w:r>
      <w:proofErr w:type="spellEnd"/>
      <w:r>
        <w:rPr>
          <w:rFonts w:ascii="CorpoS" w:hAnsi="CorpoS"/>
          <w:szCs w:val="24"/>
        </w:rPr>
        <w:t xml:space="preserve">. In the commercial maintenance </w:t>
      </w:r>
      <w:r w:rsidR="000638A5">
        <w:rPr>
          <w:rFonts w:ascii="CorpoS" w:hAnsi="CorpoS"/>
          <w:szCs w:val="24"/>
        </w:rPr>
        <w:br w:type="textWrapping" w:clear="all"/>
      </w:r>
      <w:r>
        <w:rPr>
          <w:rFonts w:ascii="CorpoS" w:hAnsi="CorpoS"/>
          <w:szCs w:val="24"/>
        </w:rPr>
        <w:t>business, MTU</w:t>
      </w:r>
      <w:r w:rsidR="007938F2">
        <w:rPr>
          <w:rFonts w:ascii="CorpoS" w:hAnsi="CorpoS"/>
          <w:szCs w:val="24"/>
        </w:rPr>
        <w:t xml:space="preserve"> is benefiting from its high share of</w:t>
      </w:r>
      <w:r>
        <w:rPr>
          <w:rFonts w:ascii="CorpoS" w:hAnsi="CorpoS"/>
          <w:szCs w:val="24"/>
        </w:rPr>
        <w:t xml:space="preserve"> </w:t>
      </w:r>
      <w:proofErr w:type="spellStart"/>
      <w:r>
        <w:rPr>
          <w:rFonts w:ascii="CorpoS" w:hAnsi="CorpoS"/>
          <w:szCs w:val="24"/>
        </w:rPr>
        <w:t>narrowbody</w:t>
      </w:r>
      <w:proofErr w:type="spellEnd"/>
      <w:r>
        <w:rPr>
          <w:rFonts w:ascii="CorpoS" w:hAnsi="CorpoS"/>
          <w:szCs w:val="24"/>
        </w:rPr>
        <w:t xml:space="preserve"> engines in lifecycle phases where there is likely to be a high need for maintenance. It also benefits from its customer base, which includes airlines that serve markets with a high level of domestic flights. These are recovering faster from the effects of the coronavirus pandemic than international passenger flights. Moreover, MTU has many customers in the cargo sector, which is solidly above the pre-crisis level and is supporting the </w:t>
      </w:r>
      <w:proofErr w:type="spellStart"/>
      <w:r>
        <w:rPr>
          <w:rFonts w:ascii="CorpoS" w:hAnsi="CorpoS"/>
          <w:szCs w:val="24"/>
        </w:rPr>
        <w:t>widebody</w:t>
      </w:r>
      <w:proofErr w:type="spellEnd"/>
      <w:r>
        <w:rPr>
          <w:rFonts w:ascii="CorpoS" w:hAnsi="CorpoS"/>
          <w:szCs w:val="24"/>
        </w:rPr>
        <w:t xml:space="preserve"> business.</w:t>
      </w:r>
    </w:p>
    <w:p w:rsidR="003957CF" w:rsidRPr="006B0DF9" w:rsidRDefault="003957CF" w:rsidP="00623E6F">
      <w:pPr>
        <w:tabs>
          <w:tab w:val="left" w:pos="7655"/>
          <w:tab w:val="left" w:pos="7938"/>
        </w:tabs>
        <w:spacing w:line="300" w:lineRule="exact"/>
        <w:ind w:right="283"/>
        <w:jc w:val="both"/>
        <w:rPr>
          <w:rFonts w:ascii="CorpoS" w:hAnsi="CorpoS"/>
          <w:szCs w:val="24"/>
        </w:rPr>
      </w:pPr>
    </w:p>
    <w:p w:rsidR="007D666E" w:rsidRDefault="005C72C5" w:rsidP="00E35063">
      <w:pPr>
        <w:tabs>
          <w:tab w:val="left" w:pos="7655"/>
          <w:tab w:val="left" w:pos="7938"/>
        </w:tabs>
        <w:spacing w:line="300" w:lineRule="exact"/>
        <w:ind w:right="283"/>
        <w:jc w:val="both"/>
        <w:rPr>
          <w:rFonts w:ascii="CorpoS" w:hAnsi="CorpoS"/>
          <w:szCs w:val="24"/>
        </w:rPr>
      </w:pPr>
      <w:r>
        <w:rPr>
          <w:rFonts w:ascii="CorpoS" w:hAnsi="CorpoS"/>
          <w:szCs w:val="24"/>
        </w:rPr>
        <w:t xml:space="preserve">For the commercial series business, MTU is forecasting revenue growth in the mid to high teens percentage range in 2022. This annual growth rate is also expected to continue until 2024. “Our technological edge, crisis-resistant portfolio with stakes in leading engine programs in all segments and our broad customer base play a key role in our good growth prospects here,” said </w:t>
      </w:r>
      <w:proofErr w:type="spellStart"/>
      <w:r>
        <w:rPr>
          <w:rFonts w:ascii="CorpoS" w:hAnsi="CorpoS"/>
          <w:szCs w:val="24"/>
        </w:rPr>
        <w:t>Schreyögg</w:t>
      </w:r>
      <w:proofErr w:type="spellEnd"/>
      <w:r>
        <w:rPr>
          <w:rFonts w:ascii="CorpoS" w:hAnsi="CorpoS"/>
          <w:szCs w:val="24"/>
        </w:rPr>
        <w:t xml:space="preserve">. MTU aims to expand its good market position in the global </w:t>
      </w:r>
      <w:proofErr w:type="spellStart"/>
      <w:r>
        <w:rPr>
          <w:rFonts w:ascii="CorpoS" w:hAnsi="CorpoS"/>
          <w:szCs w:val="24"/>
        </w:rPr>
        <w:t>narrowbody</w:t>
      </w:r>
      <w:proofErr w:type="spellEnd"/>
      <w:r>
        <w:rPr>
          <w:rFonts w:ascii="CorpoS" w:hAnsi="CorpoS"/>
          <w:szCs w:val="24"/>
        </w:rPr>
        <w:t xml:space="preserve"> fleet in </w:t>
      </w:r>
      <w:r>
        <w:rPr>
          <w:rFonts w:ascii="CorpoS" w:hAnsi="CorpoS"/>
          <w:szCs w:val="24"/>
        </w:rPr>
        <w:lastRenderedPageBreak/>
        <w:t xml:space="preserve">the next decade. This should be accompanied by a sharp rise in production volume. “MTU is well prepared for significantly scaling up its production, focusing also on its supply chain,” </w:t>
      </w:r>
      <w:r w:rsidR="000638A5">
        <w:rPr>
          <w:rFonts w:ascii="CorpoS" w:hAnsi="CorpoS"/>
          <w:szCs w:val="24"/>
        </w:rPr>
        <w:br w:type="textWrapping" w:clear="all"/>
      </w:r>
      <w:r>
        <w:rPr>
          <w:rFonts w:ascii="CorpoS" w:hAnsi="CorpoS"/>
          <w:szCs w:val="24"/>
        </w:rPr>
        <w:t xml:space="preserve">explained Chief Operating Officer Lars Wagner. Production rates should also pick up </w:t>
      </w:r>
      <w:r w:rsidR="007938F2">
        <w:rPr>
          <w:rFonts w:ascii="CorpoS" w:hAnsi="CorpoS"/>
          <w:szCs w:val="24"/>
        </w:rPr>
        <w:t xml:space="preserve">again </w:t>
      </w:r>
      <w:r>
        <w:rPr>
          <w:rFonts w:ascii="CorpoS" w:hAnsi="CorpoS"/>
          <w:szCs w:val="24"/>
        </w:rPr>
        <w:t xml:space="preserve">in the </w:t>
      </w:r>
      <w:proofErr w:type="spellStart"/>
      <w:r>
        <w:rPr>
          <w:rFonts w:ascii="CorpoS" w:hAnsi="CorpoS"/>
          <w:szCs w:val="24"/>
        </w:rPr>
        <w:t>widebody</w:t>
      </w:r>
      <w:proofErr w:type="spellEnd"/>
      <w:r>
        <w:rPr>
          <w:rFonts w:ascii="CorpoS" w:hAnsi="CorpoS"/>
          <w:szCs w:val="24"/>
        </w:rPr>
        <w:t xml:space="preserve"> sector. MTU has good prospects here thanks to its </w:t>
      </w:r>
      <w:r w:rsidR="007938F2">
        <w:rPr>
          <w:rFonts w:ascii="CorpoS" w:hAnsi="CorpoS"/>
          <w:szCs w:val="24"/>
        </w:rPr>
        <w:t>share</w:t>
      </w:r>
      <w:r>
        <w:rPr>
          <w:rFonts w:ascii="CorpoS" w:hAnsi="CorpoS"/>
          <w:szCs w:val="24"/>
        </w:rPr>
        <w:t xml:space="preserve"> in the GE9X for the Boeing 777X. Furthermore, the company is well-positioned in the business jets sector, which has proven crisis-resistant with usage rates above the pre-pandemic level. </w:t>
      </w:r>
      <w:proofErr w:type="spellStart"/>
      <w:r>
        <w:rPr>
          <w:rFonts w:ascii="CorpoS" w:hAnsi="CorpoS"/>
          <w:szCs w:val="24"/>
        </w:rPr>
        <w:t>Schreyögg</w:t>
      </w:r>
      <w:proofErr w:type="spellEnd"/>
      <w:r>
        <w:rPr>
          <w:rFonts w:ascii="CorpoS" w:hAnsi="CorpoS"/>
          <w:szCs w:val="24"/>
        </w:rPr>
        <w:t xml:space="preserve">: “We are therefore well-placed for above-average growth.” Wagner added: “With our technology roadmap, which is focused on sustainable and ultimately emissions-free engines, we are positioning MTU as the technology leader to secure an optimal role in future aircraft platforms, leading to further growth.” With its evolutionary and revolutionary propulsion concepts, MTU is positioned to acquire program </w:t>
      </w:r>
      <w:r w:rsidR="007938F2">
        <w:rPr>
          <w:rFonts w:ascii="CorpoS" w:hAnsi="CorpoS"/>
          <w:szCs w:val="24"/>
        </w:rPr>
        <w:t>shares</w:t>
      </w:r>
      <w:r>
        <w:rPr>
          <w:rFonts w:ascii="CorpoS" w:hAnsi="CorpoS"/>
          <w:szCs w:val="24"/>
        </w:rPr>
        <w:t xml:space="preserve"> in engines for new </w:t>
      </w:r>
      <w:proofErr w:type="spellStart"/>
      <w:r>
        <w:rPr>
          <w:rFonts w:ascii="CorpoS" w:hAnsi="CorpoS"/>
          <w:szCs w:val="24"/>
        </w:rPr>
        <w:t>narrowbody</w:t>
      </w:r>
      <w:proofErr w:type="spellEnd"/>
      <w:r>
        <w:rPr>
          <w:rFonts w:ascii="CorpoS" w:hAnsi="CorpoS"/>
          <w:szCs w:val="24"/>
        </w:rPr>
        <w:t xml:space="preserve"> and </w:t>
      </w:r>
      <w:proofErr w:type="spellStart"/>
      <w:r>
        <w:rPr>
          <w:rFonts w:ascii="CorpoS" w:hAnsi="CorpoS"/>
          <w:szCs w:val="24"/>
        </w:rPr>
        <w:t>widebody</w:t>
      </w:r>
      <w:proofErr w:type="spellEnd"/>
      <w:r>
        <w:rPr>
          <w:rFonts w:ascii="CorpoS" w:hAnsi="CorpoS"/>
          <w:szCs w:val="24"/>
        </w:rPr>
        <w:t xml:space="preserve"> aircraft.</w:t>
      </w:r>
    </w:p>
    <w:p w:rsidR="00007F76" w:rsidRPr="006B0DF9" w:rsidRDefault="00007F76" w:rsidP="00E35063">
      <w:pPr>
        <w:tabs>
          <w:tab w:val="left" w:pos="7655"/>
          <w:tab w:val="left" w:pos="7938"/>
        </w:tabs>
        <w:spacing w:line="300" w:lineRule="exact"/>
        <w:ind w:right="283"/>
        <w:jc w:val="both"/>
        <w:rPr>
          <w:rFonts w:ascii="CorpoS" w:hAnsi="CorpoS"/>
          <w:szCs w:val="24"/>
        </w:rPr>
      </w:pPr>
    </w:p>
    <w:p w:rsidR="00623E6F" w:rsidRPr="00B81C0E" w:rsidRDefault="00623E6F" w:rsidP="00623E6F">
      <w:pPr>
        <w:tabs>
          <w:tab w:val="left" w:pos="7655"/>
          <w:tab w:val="left" w:pos="9072"/>
        </w:tabs>
        <w:spacing w:line="300" w:lineRule="exact"/>
        <w:ind w:right="283"/>
        <w:jc w:val="both"/>
        <w:rPr>
          <w:rFonts w:ascii="CorpoS" w:hAnsi="CorpoS"/>
          <w:szCs w:val="24"/>
        </w:rPr>
      </w:pPr>
      <w:r>
        <w:rPr>
          <w:rFonts w:ascii="CorpoS" w:hAnsi="CorpoS"/>
          <w:szCs w:val="24"/>
        </w:rPr>
        <w:t>In the commercial spare parts business, the increase in revenue should be in the mid-teens percentage range in 2022, driven mainly by the V2500 for the classic A320 family and the Geared Turbofan™ for the A320neo. Looking beyond 2022, MTU expects the highest growth rates to</w:t>
      </w:r>
      <w:r w:rsidR="00EC5E06">
        <w:rPr>
          <w:rFonts w:ascii="CorpoS" w:hAnsi="CorpoS"/>
          <w:szCs w:val="24"/>
        </w:rPr>
        <w:t xml:space="preserve"> also</w:t>
      </w:r>
      <w:r>
        <w:rPr>
          <w:rFonts w:ascii="CorpoS" w:hAnsi="CorpoS"/>
          <w:szCs w:val="24"/>
        </w:rPr>
        <w:t xml:space="preserve"> come from </w:t>
      </w:r>
      <w:proofErr w:type="spellStart"/>
      <w:r>
        <w:rPr>
          <w:rFonts w:ascii="CorpoS" w:hAnsi="CorpoS"/>
          <w:szCs w:val="24"/>
        </w:rPr>
        <w:t>narrowbody</w:t>
      </w:r>
      <w:proofErr w:type="spellEnd"/>
      <w:r>
        <w:rPr>
          <w:rFonts w:ascii="CorpoS" w:hAnsi="CorpoS"/>
          <w:szCs w:val="24"/>
        </w:rPr>
        <w:t xml:space="preserve"> and regional aircraft. This should be reflected in annual organic revenue growth in the spare parts business in the low teens percentage range up to 2024.</w:t>
      </w:r>
    </w:p>
    <w:p w:rsidR="00623E6F" w:rsidRPr="006B0DF9" w:rsidRDefault="00623E6F" w:rsidP="00623E6F">
      <w:pPr>
        <w:tabs>
          <w:tab w:val="left" w:pos="7655"/>
          <w:tab w:val="left" w:pos="9072"/>
        </w:tabs>
        <w:spacing w:line="300" w:lineRule="exact"/>
        <w:ind w:right="283"/>
        <w:jc w:val="both"/>
        <w:rPr>
          <w:rFonts w:ascii="CorpoS" w:hAnsi="CorpoS"/>
          <w:szCs w:val="24"/>
        </w:rPr>
      </w:pPr>
    </w:p>
    <w:p w:rsidR="00007F76" w:rsidRDefault="00007F76" w:rsidP="00E35063">
      <w:pPr>
        <w:tabs>
          <w:tab w:val="left" w:pos="7655"/>
          <w:tab w:val="left" w:pos="7938"/>
        </w:tabs>
        <w:spacing w:line="300" w:lineRule="exact"/>
        <w:ind w:right="283"/>
        <w:jc w:val="both"/>
        <w:rPr>
          <w:rFonts w:ascii="CorpoS" w:hAnsi="CorpoS"/>
          <w:szCs w:val="24"/>
        </w:rPr>
      </w:pPr>
      <w:r>
        <w:rPr>
          <w:rFonts w:ascii="CorpoS" w:hAnsi="CorpoS"/>
          <w:szCs w:val="24"/>
        </w:rPr>
        <w:t xml:space="preserve">MTU’s military business should also grow in 2022 and beyond. For 2022, MTU is predicting an increase in the high single-digit percentage range, with further revenue rises in the </w:t>
      </w:r>
      <w:proofErr w:type="spellStart"/>
      <w:r>
        <w:rPr>
          <w:rFonts w:ascii="CorpoS" w:hAnsi="CorpoS"/>
          <w:szCs w:val="24"/>
        </w:rPr>
        <w:t>mid single</w:t>
      </w:r>
      <w:proofErr w:type="spellEnd"/>
      <w:r>
        <w:rPr>
          <w:rFonts w:ascii="CorpoS" w:hAnsi="CorpoS"/>
          <w:szCs w:val="24"/>
        </w:rPr>
        <w:t xml:space="preserve">-digit percentage range up to 2024. </w:t>
      </w:r>
      <w:proofErr w:type="spellStart"/>
      <w:r>
        <w:rPr>
          <w:rFonts w:ascii="CorpoS" w:hAnsi="CorpoS"/>
          <w:szCs w:val="24"/>
        </w:rPr>
        <w:t>Schreyögg</w:t>
      </w:r>
      <w:proofErr w:type="spellEnd"/>
      <w:r>
        <w:rPr>
          <w:rFonts w:ascii="CorpoS" w:hAnsi="CorpoS"/>
          <w:szCs w:val="24"/>
        </w:rPr>
        <w:t xml:space="preserve">: “The military business gave us stability during the coronavirus crisis. Campaigns for the Eurofighter with the EJ200 engine and the Next </w:t>
      </w:r>
      <w:r w:rsidR="000638A5">
        <w:rPr>
          <w:rFonts w:ascii="CorpoS" w:hAnsi="CorpoS"/>
          <w:szCs w:val="24"/>
        </w:rPr>
        <w:br w:type="textWrapping" w:clear="all"/>
      </w:r>
      <w:r>
        <w:rPr>
          <w:rFonts w:ascii="CorpoS" w:hAnsi="CorpoS"/>
          <w:szCs w:val="24"/>
        </w:rPr>
        <w:t>European Fighter Engine for the next generation of European fighter aircraft open up attractive growth opportunities in this sector. There is also growth potential in the service and aftermarket business.”</w:t>
      </w:r>
    </w:p>
    <w:p w:rsidR="002B3300" w:rsidRPr="006B0DF9" w:rsidRDefault="002B3300" w:rsidP="00E35063">
      <w:pPr>
        <w:tabs>
          <w:tab w:val="left" w:pos="7655"/>
          <w:tab w:val="left" w:pos="7938"/>
        </w:tabs>
        <w:spacing w:line="300" w:lineRule="exact"/>
        <w:ind w:right="283"/>
        <w:jc w:val="both"/>
        <w:rPr>
          <w:rFonts w:ascii="CorpoS" w:hAnsi="CorpoS"/>
          <w:szCs w:val="24"/>
        </w:rPr>
      </w:pPr>
    </w:p>
    <w:p w:rsidR="002B3300" w:rsidRDefault="00126FF9" w:rsidP="00E35063">
      <w:pPr>
        <w:tabs>
          <w:tab w:val="left" w:pos="7655"/>
          <w:tab w:val="left" w:pos="7938"/>
        </w:tabs>
        <w:spacing w:line="300" w:lineRule="exact"/>
        <w:ind w:right="283"/>
        <w:jc w:val="both"/>
        <w:rPr>
          <w:rFonts w:ascii="CorpoS" w:hAnsi="CorpoS"/>
          <w:szCs w:val="24"/>
        </w:rPr>
      </w:pPr>
      <w:proofErr w:type="spellStart"/>
      <w:r>
        <w:rPr>
          <w:rFonts w:ascii="CorpoS" w:hAnsi="CorpoS"/>
          <w:szCs w:val="24"/>
        </w:rPr>
        <w:t>Kameritsch</w:t>
      </w:r>
      <w:proofErr w:type="spellEnd"/>
      <w:r>
        <w:rPr>
          <w:rFonts w:ascii="CorpoS" w:hAnsi="CorpoS"/>
          <w:szCs w:val="24"/>
        </w:rPr>
        <w:t xml:space="preserve">: “We still have a clear focus on profitable growth. We are therefore keeping a close eye on our cost base and are striving for cost leadership in all areas.” To achieve this, MTU is concentrating on automation and digitalization, its best-cost site strategy, leveraging synergies and strict cost management in both production and maintenance. “Our goal is a balanced </w:t>
      </w:r>
      <w:r w:rsidR="000638A5">
        <w:rPr>
          <w:rFonts w:ascii="CorpoS" w:hAnsi="CorpoS"/>
          <w:szCs w:val="24"/>
        </w:rPr>
        <w:br w:type="textWrapping" w:clear="all"/>
      </w:r>
      <w:r w:rsidR="00F94FA5">
        <w:rPr>
          <w:rFonts w:ascii="CorpoS" w:hAnsi="CorpoS"/>
          <w:szCs w:val="24"/>
        </w:rPr>
        <w:t>leverage</w:t>
      </w:r>
      <w:r>
        <w:rPr>
          <w:rFonts w:ascii="CorpoS" w:hAnsi="CorpoS"/>
          <w:szCs w:val="24"/>
        </w:rPr>
        <w:t xml:space="preserve"> ratio of between 0.5 and 1.5 times adjusted EBITDA,” said </w:t>
      </w:r>
      <w:proofErr w:type="spellStart"/>
      <w:r>
        <w:rPr>
          <w:rFonts w:ascii="CorpoS" w:hAnsi="CorpoS"/>
          <w:szCs w:val="24"/>
        </w:rPr>
        <w:t>Kameritsch</w:t>
      </w:r>
      <w:proofErr w:type="spellEnd"/>
      <w:r>
        <w:rPr>
          <w:rFonts w:ascii="CorpoS" w:hAnsi="CorpoS"/>
          <w:szCs w:val="24"/>
        </w:rPr>
        <w:t>.</w:t>
      </w:r>
    </w:p>
    <w:p w:rsidR="00630AFC" w:rsidRPr="006B0DF9" w:rsidRDefault="00630AFC" w:rsidP="00E35063">
      <w:pPr>
        <w:tabs>
          <w:tab w:val="left" w:pos="7655"/>
          <w:tab w:val="left" w:pos="7938"/>
        </w:tabs>
        <w:spacing w:line="300" w:lineRule="exact"/>
        <w:ind w:right="283"/>
        <w:jc w:val="both"/>
        <w:rPr>
          <w:rFonts w:ascii="CorpoS" w:hAnsi="CorpoS"/>
          <w:szCs w:val="24"/>
        </w:rPr>
      </w:pPr>
    </w:p>
    <w:p w:rsidR="00630AFC" w:rsidRDefault="00630AFC" w:rsidP="00E35063">
      <w:pPr>
        <w:tabs>
          <w:tab w:val="left" w:pos="7655"/>
          <w:tab w:val="left" w:pos="7938"/>
        </w:tabs>
        <w:spacing w:line="300" w:lineRule="exact"/>
        <w:ind w:right="283"/>
        <w:jc w:val="both"/>
        <w:rPr>
          <w:rFonts w:ascii="CorpoS" w:hAnsi="CorpoS"/>
          <w:szCs w:val="24"/>
        </w:rPr>
      </w:pPr>
      <w:r>
        <w:rPr>
          <w:rFonts w:ascii="CorpoS" w:hAnsi="CorpoS"/>
          <w:szCs w:val="24"/>
        </w:rPr>
        <w:t xml:space="preserve">Winkler summed up: “Sustainability is the dominant factor in all of our activities. We have a clear commitment to the principles of the UN Global Compact and are making a contribution to eight of the targets.” Wagner gave some current examples: “Our goal is to make our production climate-neutral. The Munich site is making a start this year. The objective is climate-neutral operation of all MTU sites. We are focusing on continuously reducing emissions from our </w:t>
      </w:r>
      <w:r w:rsidR="000638A5">
        <w:rPr>
          <w:rFonts w:ascii="CorpoS" w:hAnsi="CorpoS"/>
          <w:szCs w:val="24"/>
        </w:rPr>
        <w:br w:type="textWrapping" w:clear="all"/>
      </w:r>
      <w:r>
        <w:rPr>
          <w:rFonts w:ascii="CorpoS" w:hAnsi="CorpoS"/>
          <w:szCs w:val="24"/>
        </w:rPr>
        <w:t>products with the aim of developing completely emissions-free engines.”</w:t>
      </w:r>
    </w:p>
    <w:p w:rsidR="0033584F" w:rsidRPr="0033584F" w:rsidRDefault="003E78C5" w:rsidP="001200C9">
      <w:pPr>
        <w:tabs>
          <w:tab w:val="left" w:pos="7655"/>
          <w:tab w:val="left" w:pos="9072"/>
        </w:tabs>
        <w:spacing w:line="300" w:lineRule="exact"/>
        <w:ind w:right="283"/>
        <w:jc w:val="both"/>
        <w:rPr>
          <w:rFonts w:ascii="CorpoS" w:hAnsi="CorpoS"/>
          <w:b/>
          <w:szCs w:val="24"/>
        </w:rPr>
      </w:pPr>
      <w:r>
        <w:rPr>
          <w:rFonts w:ascii="CorpoS" w:hAnsi="CorpoS"/>
          <w:b/>
          <w:szCs w:val="24"/>
        </w:rPr>
        <w:lastRenderedPageBreak/>
        <w:t>Forecast</w:t>
      </w:r>
    </w:p>
    <w:p w:rsidR="0033584F" w:rsidRPr="002342A4" w:rsidRDefault="0033584F" w:rsidP="001200C9">
      <w:pPr>
        <w:tabs>
          <w:tab w:val="left" w:pos="7655"/>
          <w:tab w:val="left" w:pos="9072"/>
        </w:tabs>
        <w:spacing w:line="300" w:lineRule="exact"/>
        <w:ind w:right="283"/>
        <w:jc w:val="both"/>
        <w:rPr>
          <w:rFonts w:ascii="CorpoS" w:hAnsi="CorpoS"/>
          <w:i/>
          <w:szCs w:val="24"/>
        </w:rPr>
      </w:pPr>
      <w:r>
        <w:rPr>
          <w:rFonts w:ascii="CorpoS" w:hAnsi="CorpoS"/>
          <w:i/>
          <w:szCs w:val="24"/>
        </w:rPr>
        <w:t>Organic revenue development</w:t>
      </w:r>
    </w:p>
    <w:p w:rsidR="0033584F" w:rsidRPr="003E78C5" w:rsidRDefault="0033584F" w:rsidP="001200C9">
      <w:pPr>
        <w:tabs>
          <w:tab w:val="left" w:pos="7655"/>
          <w:tab w:val="left" w:pos="9072"/>
        </w:tabs>
        <w:spacing w:line="300" w:lineRule="exact"/>
        <w:ind w:right="283"/>
        <w:jc w:val="both"/>
        <w:rPr>
          <w:rFonts w:ascii="CorpoS" w:hAnsi="CorpoS"/>
          <w:color w:val="FF0000"/>
          <w:szCs w:val="24"/>
          <w:lang w:val="de-DE"/>
        </w:rPr>
      </w:pPr>
    </w:p>
    <w:tbl>
      <w:tblPr>
        <w:tblStyle w:val="Tabellenraster"/>
        <w:tblW w:w="0" w:type="auto"/>
        <w:tblLook w:val="04A0" w:firstRow="1" w:lastRow="0" w:firstColumn="1" w:lastColumn="0" w:noHBand="0" w:noVBand="1"/>
      </w:tblPr>
      <w:tblGrid>
        <w:gridCol w:w="2689"/>
        <w:gridCol w:w="3402"/>
        <w:gridCol w:w="3254"/>
      </w:tblGrid>
      <w:tr w:rsidR="002342A4" w:rsidRPr="002342A4" w:rsidTr="005B387A">
        <w:tc>
          <w:tcPr>
            <w:tcW w:w="2689" w:type="dxa"/>
          </w:tcPr>
          <w:p w:rsidR="002342A4" w:rsidRPr="002342A4" w:rsidRDefault="002342A4" w:rsidP="001200C9">
            <w:pPr>
              <w:tabs>
                <w:tab w:val="left" w:pos="7655"/>
                <w:tab w:val="left" w:pos="9072"/>
              </w:tabs>
              <w:spacing w:line="300" w:lineRule="exact"/>
              <w:ind w:right="283"/>
              <w:jc w:val="both"/>
              <w:rPr>
                <w:rFonts w:ascii="CorpoS" w:hAnsi="CorpoS"/>
                <w:b/>
                <w:szCs w:val="24"/>
                <w:lang w:val="de-DE"/>
              </w:rPr>
            </w:pPr>
          </w:p>
        </w:tc>
        <w:tc>
          <w:tcPr>
            <w:tcW w:w="3402" w:type="dxa"/>
          </w:tcPr>
          <w:p w:rsidR="002342A4" w:rsidRPr="002342A4" w:rsidRDefault="002342A4" w:rsidP="0033584F">
            <w:pPr>
              <w:tabs>
                <w:tab w:val="left" w:pos="7655"/>
                <w:tab w:val="left" w:pos="9072"/>
              </w:tabs>
              <w:spacing w:line="300" w:lineRule="exact"/>
              <w:ind w:right="283"/>
              <w:jc w:val="both"/>
              <w:rPr>
                <w:rFonts w:ascii="CorpoS" w:hAnsi="CorpoS"/>
                <w:b/>
                <w:szCs w:val="24"/>
              </w:rPr>
            </w:pPr>
            <w:r>
              <w:rPr>
                <w:rFonts w:ascii="CorpoS" w:hAnsi="CorpoS"/>
                <w:b/>
                <w:szCs w:val="24"/>
              </w:rPr>
              <w:t>2022</w:t>
            </w:r>
          </w:p>
        </w:tc>
        <w:tc>
          <w:tcPr>
            <w:tcW w:w="3254" w:type="dxa"/>
          </w:tcPr>
          <w:p w:rsidR="002342A4" w:rsidRPr="002342A4" w:rsidRDefault="00825612" w:rsidP="0033584F">
            <w:pPr>
              <w:tabs>
                <w:tab w:val="left" w:pos="7655"/>
                <w:tab w:val="left" w:pos="9072"/>
              </w:tabs>
              <w:spacing w:line="300" w:lineRule="exact"/>
              <w:ind w:right="283"/>
              <w:jc w:val="both"/>
              <w:rPr>
                <w:rFonts w:ascii="CorpoS" w:hAnsi="CorpoS"/>
                <w:b/>
                <w:szCs w:val="24"/>
              </w:rPr>
            </w:pPr>
            <w:r>
              <w:rPr>
                <w:rFonts w:ascii="CorpoS" w:hAnsi="CorpoS"/>
                <w:b/>
                <w:szCs w:val="24"/>
              </w:rPr>
              <w:t>Up to 2024</w:t>
            </w:r>
          </w:p>
        </w:tc>
      </w:tr>
      <w:tr w:rsidR="00825612" w:rsidRPr="00065488" w:rsidTr="005B387A">
        <w:tc>
          <w:tcPr>
            <w:tcW w:w="2689" w:type="dxa"/>
          </w:tcPr>
          <w:p w:rsidR="00825612" w:rsidRPr="00F333A5" w:rsidRDefault="00825612" w:rsidP="001200C9">
            <w:pPr>
              <w:tabs>
                <w:tab w:val="left" w:pos="7655"/>
                <w:tab w:val="left" w:pos="9072"/>
              </w:tabs>
              <w:spacing w:line="300" w:lineRule="exact"/>
              <w:ind w:right="283"/>
              <w:jc w:val="both"/>
              <w:rPr>
                <w:rFonts w:ascii="CorpoS" w:hAnsi="CorpoS"/>
                <w:szCs w:val="24"/>
              </w:rPr>
            </w:pPr>
            <w:r>
              <w:rPr>
                <w:rFonts w:ascii="CorpoS" w:hAnsi="CorpoS"/>
                <w:szCs w:val="24"/>
              </w:rPr>
              <w:t>Revenue</w:t>
            </w:r>
          </w:p>
        </w:tc>
        <w:tc>
          <w:tcPr>
            <w:tcW w:w="3402" w:type="dxa"/>
          </w:tcPr>
          <w:p w:rsidR="00825612" w:rsidRPr="00F333A5" w:rsidRDefault="00825612" w:rsidP="0033584F">
            <w:pPr>
              <w:tabs>
                <w:tab w:val="left" w:pos="7655"/>
                <w:tab w:val="left" w:pos="9072"/>
              </w:tabs>
              <w:spacing w:line="300" w:lineRule="exact"/>
              <w:ind w:right="283"/>
              <w:jc w:val="both"/>
              <w:rPr>
                <w:rFonts w:ascii="CorpoS" w:hAnsi="CorpoS"/>
                <w:szCs w:val="24"/>
              </w:rPr>
            </w:pPr>
            <w:r>
              <w:rPr>
                <w:rFonts w:ascii="CorpoS" w:hAnsi="CorpoS"/>
                <w:szCs w:val="24"/>
              </w:rPr>
              <w:t>Between €5.2 and €5.4 billion</w:t>
            </w:r>
          </w:p>
        </w:tc>
        <w:tc>
          <w:tcPr>
            <w:tcW w:w="3254" w:type="dxa"/>
          </w:tcPr>
          <w:p w:rsidR="00825612" w:rsidRPr="00F333A5" w:rsidRDefault="00F94FA5" w:rsidP="0033584F">
            <w:pPr>
              <w:tabs>
                <w:tab w:val="left" w:pos="7655"/>
                <w:tab w:val="left" w:pos="9072"/>
              </w:tabs>
              <w:spacing w:line="300" w:lineRule="exact"/>
              <w:ind w:right="283"/>
              <w:jc w:val="both"/>
              <w:rPr>
                <w:rFonts w:ascii="CorpoS" w:hAnsi="CorpoS"/>
                <w:szCs w:val="24"/>
              </w:rPr>
            </w:pPr>
            <w:r>
              <w:rPr>
                <w:rFonts w:ascii="CorpoS" w:hAnsi="CorpoS"/>
                <w:szCs w:val="24"/>
              </w:rPr>
              <w:t>Steady growth</w:t>
            </w:r>
          </w:p>
        </w:tc>
      </w:tr>
      <w:tr w:rsidR="00F333A5" w:rsidRPr="000421FB" w:rsidTr="005B387A">
        <w:tc>
          <w:tcPr>
            <w:tcW w:w="2689" w:type="dxa"/>
          </w:tcPr>
          <w:p w:rsidR="002342A4" w:rsidRPr="00FC31C7" w:rsidRDefault="0069554E" w:rsidP="005B387A">
            <w:pPr>
              <w:tabs>
                <w:tab w:val="left" w:pos="7655"/>
                <w:tab w:val="left" w:pos="9072"/>
              </w:tabs>
              <w:spacing w:line="300" w:lineRule="exact"/>
              <w:ind w:right="283"/>
              <w:jc w:val="both"/>
              <w:rPr>
                <w:rFonts w:ascii="CorpoS" w:hAnsi="CorpoS"/>
                <w:i/>
                <w:szCs w:val="24"/>
              </w:rPr>
            </w:pPr>
            <w:r>
              <w:rPr>
                <w:rFonts w:ascii="CorpoS" w:hAnsi="CorpoS"/>
                <w:i/>
                <w:szCs w:val="24"/>
              </w:rPr>
              <w:t>C</w:t>
            </w:r>
            <w:r w:rsidR="002342A4">
              <w:rPr>
                <w:rFonts w:ascii="CorpoS" w:hAnsi="CorpoS"/>
                <w:i/>
                <w:szCs w:val="24"/>
              </w:rPr>
              <w:t xml:space="preserve">ommercial </w:t>
            </w:r>
            <w:r w:rsidR="005B387A">
              <w:rPr>
                <w:rFonts w:ascii="CorpoS" w:hAnsi="CorpoS"/>
                <w:i/>
                <w:szCs w:val="24"/>
              </w:rPr>
              <w:t>series</w:t>
            </w:r>
            <w:r w:rsidR="002342A4">
              <w:rPr>
                <w:rFonts w:ascii="CorpoS" w:hAnsi="CorpoS"/>
                <w:i/>
                <w:szCs w:val="24"/>
              </w:rPr>
              <w:t xml:space="preserve"> business</w:t>
            </w:r>
          </w:p>
        </w:tc>
        <w:tc>
          <w:tcPr>
            <w:tcW w:w="3402" w:type="dxa"/>
          </w:tcPr>
          <w:p w:rsidR="002342A4" w:rsidRPr="00FC31C7" w:rsidRDefault="00F333A5" w:rsidP="0033584F">
            <w:pPr>
              <w:tabs>
                <w:tab w:val="left" w:pos="7655"/>
                <w:tab w:val="left" w:pos="9072"/>
              </w:tabs>
              <w:spacing w:line="300" w:lineRule="exact"/>
              <w:ind w:right="283"/>
              <w:jc w:val="both"/>
              <w:rPr>
                <w:rFonts w:ascii="CorpoS" w:hAnsi="CorpoS"/>
                <w:i/>
                <w:szCs w:val="24"/>
              </w:rPr>
            </w:pPr>
            <w:r>
              <w:rPr>
                <w:rFonts w:ascii="CorpoS" w:hAnsi="CorpoS"/>
                <w:i/>
                <w:szCs w:val="24"/>
              </w:rPr>
              <w:t>Increase in the mid to high teens percentage range</w:t>
            </w:r>
          </w:p>
        </w:tc>
        <w:tc>
          <w:tcPr>
            <w:tcW w:w="3254" w:type="dxa"/>
          </w:tcPr>
          <w:p w:rsidR="002342A4" w:rsidRPr="00FC31C7" w:rsidRDefault="00F333A5" w:rsidP="0033584F">
            <w:pPr>
              <w:tabs>
                <w:tab w:val="left" w:pos="7655"/>
                <w:tab w:val="left" w:pos="9072"/>
              </w:tabs>
              <w:spacing w:line="300" w:lineRule="exact"/>
              <w:ind w:right="283"/>
              <w:jc w:val="both"/>
              <w:rPr>
                <w:rFonts w:ascii="CorpoS" w:hAnsi="CorpoS"/>
                <w:i/>
                <w:szCs w:val="24"/>
              </w:rPr>
            </w:pPr>
            <w:r>
              <w:rPr>
                <w:rFonts w:ascii="CorpoS" w:hAnsi="CorpoS"/>
                <w:i/>
                <w:szCs w:val="24"/>
              </w:rPr>
              <w:t>Increase in the mid to high teens percentage range</w:t>
            </w:r>
          </w:p>
        </w:tc>
      </w:tr>
      <w:tr w:rsidR="00F333A5" w:rsidRPr="000421FB" w:rsidTr="005B387A">
        <w:tc>
          <w:tcPr>
            <w:tcW w:w="2689" w:type="dxa"/>
          </w:tcPr>
          <w:p w:rsidR="00722873" w:rsidRPr="00FC31C7" w:rsidRDefault="00722873" w:rsidP="001200C9">
            <w:pPr>
              <w:tabs>
                <w:tab w:val="left" w:pos="7655"/>
                <w:tab w:val="left" w:pos="9072"/>
              </w:tabs>
              <w:spacing w:line="300" w:lineRule="exact"/>
              <w:ind w:right="283"/>
              <w:jc w:val="both"/>
              <w:rPr>
                <w:rFonts w:ascii="CorpoS" w:hAnsi="CorpoS"/>
                <w:i/>
                <w:szCs w:val="24"/>
              </w:rPr>
            </w:pPr>
            <w:r>
              <w:rPr>
                <w:rFonts w:ascii="CorpoS" w:hAnsi="CorpoS"/>
                <w:i/>
                <w:szCs w:val="24"/>
              </w:rPr>
              <w:t>Spare parts business</w:t>
            </w:r>
          </w:p>
        </w:tc>
        <w:tc>
          <w:tcPr>
            <w:tcW w:w="3402" w:type="dxa"/>
          </w:tcPr>
          <w:p w:rsidR="00722873" w:rsidRPr="00FC31C7" w:rsidRDefault="00F333A5" w:rsidP="00F94FA5">
            <w:pPr>
              <w:tabs>
                <w:tab w:val="left" w:pos="7655"/>
                <w:tab w:val="left" w:pos="9072"/>
              </w:tabs>
              <w:spacing w:line="300" w:lineRule="exact"/>
              <w:ind w:right="283"/>
              <w:jc w:val="both"/>
              <w:rPr>
                <w:rFonts w:ascii="CorpoS" w:hAnsi="CorpoS"/>
                <w:i/>
                <w:szCs w:val="24"/>
              </w:rPr>
            </w:pPr>
            <w:r>
              <w:rPr>
                <w:rFonts w:ascii="CorpoS" w:hAnsi="CorpoS"/>
                <w:i/>
                <w:szCs w:val="24"/>
              </w:rPr>
              <w:t>Increase in the mid</w:t>
            </w:r>
            <w:r w:rsidR="00F94FA5">
              <w:rPr>
                <w:rFonts w:ascii="CorpoS" w:hAnsi="CorpoS"/>
                <w:i/>
                <w:szCs w:val="24"/>
              </w:rPr>
              <w:t>-</w:t>
            </w:r>
            <w:r>
              <w:rPr>
                <w:rFonts w:ascii="CorpoS" w:hAnsi="CorpoS"/>
                <w:i/>
                <w:szCs w:val="24"/>
              </w:rPr>
              <w:t>teens percentage range</w:t>
            </w:r>
          </w:p>
        </w:tc>
        <w:tc>
          <w:tcPr>
            <w:tcW w:w="3254" w:type="dxa"/>
          </w:tcPr>
          <w:p w:rsidR="005B387A"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 xml:space="preserve">Increase in the low teens </w:t>
            </w:r>
          </w:p>
          <w:p w:rsidR="00722873"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percentage range</w:t>
            </w:r>
          </w:p>
        </w:tc>
      </w:tr>
      <w:tr w:rsidR="00F333A5" w:rsidRPr="000421FB" w:rsidTr="005B387A">
        <w:tc>
          <w:tcPr>
            <w:tcW w:w="2689" w:type="dxa"/>
          </w:tcPr>
          <w:p w:rsidR="00F333A5"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Military business</w:t>
            </w:r>
          </w:p>
        </w:tc>
        <w:tc>
          <w:tcPr>
            <w:tcW w:w="3402" w:type="dxa"/>
          </w:tcPr>
          <w:p w:rsidR="00F333A5"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Increase in the high single-digit percentage range</w:t>
            </w:r>
          </w:p>
        </w:tc>
        <w:tc>
          <w:tcPr>
            <w:tcW w:w="3254" w:type="dxa"/>
          </w:tcPr>
          <w:p w:rsidR="00F333A5"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 xml:space="preserve">Increase in the </w:t>
            </w:r>
            <w:proofErr w:type="spellStart"/>
            <w:r>
              <w:rPr>
                <w:rFonts w:ascii="CorpoS" w:hAnsi="CorpoS"/>
                <w:i/>
                <w:szCs w:val="24"/>
              </w:rPr>
              <w:t>mid single</w:t>
            </w:r>
            <w:proofErr w:type="spellEnd"/>
            <w:r>
              <w:rPr>
                <w:rFonts w:ascii="CorpoS" w:hAnsi="CorpoS"/>
                <w:i/>
                <w:szCs w:val="24"/>
              </w:rPr>
              <w:t>-digit percentage range</w:t>
            </w:r>
          </w:p>
        </w:tc>
      </w:tr>
      <w:tr w:rsidR="00F333A5" w:rsidRPr="000421FB" w:rsidTr="005B387A">
        <w:tc>
          <w:tcPr>
            <w:tcW w:w="2689" w:type="dxa"/>
          </w:tcPr>
          <w:p w:rsidR="005B387A"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 xml:space="preserve">Commercial </w:t>
            </w:r>
          </w:p>
          <w:p w:rsidR="00F333A5"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maintenance</w:t>
            </w:r>
          </w:p>
        </w:tc>
        <w:tc>
          <w:tcPr>
            <w:tcW w:w="3402" w:type="dxa"/>
          </w:tcPr>
          <w:p w:rsidR="00F333A5" w:rsidRPr="00FC31C7" w:rsidRDefault="00F333A5" w:rsidP="00F94FA5">
            <w:pPr>
              <w:tabs>
                <w:tab w:val="left" w:pos="7655"/>
                <w:tab w:val="left" w:pos="9072"/>
              </w:tabs>
              <w:spacing w:line="300" w:lineRule="exact"/>
              <w:ind w:right="283"/>
              <w:jc w:val="both"/>
              <w:rPr>
                <w:rFonts w:ascii="CorpoS" w:hAnsi="CorpoS"/>
                <w:i/>
                <w:szCs w:val="24"/>
              </w:rPr>
            </w:pPr>
            <w:r>
              <w:rPr>
                <w:rFonts w:ascii="CorpoS" w:hAnsi="CorpoS"/>
                <w:i/>
                <w:szCs w:val="24"/>
              </w:rPr>
              <w:t>I</w:t>
            </w:r>
            <w:r w:rsidR="00F94FA5">
              <w:rPr>
                <w:rFonts w:ascii="CorpoS" w:hAnsi="CorpoS"/>
                <w:i/>
                <w:szCs w:val="24"/>
              </w:rPr>
              <w:t>nc</w:t>
            </w:r>
            <w:r w:rsidR="0069554E">
              <w:rPr>
                <w:rFonts w:ascii="CorpoS" w:hAnsi="CorpoS"/>
                <w:i/>
                <w:szCs w:val="24"/>
              </w:rPr>
              <w:t>rease in the mid to high twenty-</w:t>
            </w:r>
            <w:r>
              <w:rPr>
                <w:rFonts w:ascii="CorpoS" w:hAnsi="CorpoS"/>
                <w:i/>
                <w:szCs w:val="24"/>
              </w:rPr>
              <w:t>percent range</w:t>
            </w:r>
          </w:p>
        </w:tc>
        <w:tc>
          <w:tcPr>
            <w:tcW w:w="3254" w:type="dxa"/>
          </w:tcPr>
          <w:p w:rsidR="00F333A5" w:rsidRPr="00FC31C7" w:rsidRDefault="00F333A5" w:rsidP="00F333A5">
            <w:pPr>
              <w:tabs>
                <w:tab w:val="left" w:pos="7655"/>
                <w:tab w:val="left" w:pos="9072"/>
              </w:tabs>
              <w:spacing w:line="300" w:lineRule="exact"/>
              <w:ind w:right="283"/>
              <w:jc w:val="both"/>
              <w:rPr>
                <w:rFonts w:ascii="CorpoS" w:hAnsi="CorpoS"/>
                <w:i/>
                <w:szCs w:val="24"/>
              </w:rPr>
            </w:pPr>
            <w:r>
              <w:rPr>
                <w:rFonts w:ascii="CorpoS" w:hAnsi="CorpoS"/>
                <w:i/>
                <w:szCs w:val="24"/>
              </w:rPr>
              <w:t>I</w:t>
            </w:r>
            <w:r w:rsidR="009C4679">
              <w:rPr>
                <w:rFonts w:ascii="CorpoS" w:hAnsi="CorpoS"/>
                <w:i/>
                <w:szCs w:val="24"/>
              </w:rPr>
              <w:t>ncrease in the mid-</w:t>
            </w:r>
            <w:r>
              <w:rPr>
                <w:rFonts w:ascii="CorpoS" w:hAnsi="CorpoS"/>
                <w:i/>
                <w:szCs w:val="24"/>
              </w:rPr>
              <w:t>teens percentage range</w:t>
            </w:r>
          </w:p>
        </w:tc>
      </w:tr>
      <w:tr w:rsidR="00825612" w:rsidRPr="00065488" w:rsidTr="005B387A">
        <w:tc>
          <w:tcPr>
            <w:tcW w:w="2689" w:type="dxa"/>
          </w:tcPr>
          <w:p w:rsidR="00825612" w:rsidRPr="00F333A5" w:rsidRDefault="00825612" w:rsidP="00F333A5">
            <w:pPr>
              <w:tabs>
                <w:tab w:val="left" w:pos="7655"/>
                <w:tab w:val="left" w:pos="9072"/>
              </w:tabs>
              <w:spacing w:line="300" w:lineRule="exact"/>
              <w:ind w:right="283"/>
              <w:jc w:val="both"/>
              <w:rPr>
                <w:rFonts w:ascii="CorpoS" w:hAnsi="CorpoS"/>
                <w:szCs w:val="24"/>
              </w:rPr>
            </w:pPr>
            <w:r>
              <w:rPr>
                <w:rFonts w:ascii="CorpoS" w:hAnsi="CorpoS"/>
                <w:szCs w:val="24"/>
              </w:rPr>
              <w:t>Adjusted EBIT</w:t>
            </w:r>
          </w:p>
        </w:tc>
        <w:tc>
          <w:tcPr>
            <w:tcW w:w="3402" w:type="dxa"/>
          </w:tcPr>
          <w:p w:rsidR="00825612" w:rsidRPr="00F333A5" w:rsidRDefault="0069554E" w:rsidP="00F333A5">
            <w:pPr>
              <w:tabs>
                <w:tab w:val="left" w:pos="7655"/>
                <w:tab w:val="left" w:pos="9072"/>
              </w:tabs>
              <w:spacing w:line="300" w:lineRule="exact"/>
              <w:ind w:right="283"/>
              <w:jc w:val="both"/>
              <w:rPr>
                <w:rFonts w:ascii="CorpoS" w:hAnsi="CorpoS"/>
                <w:szCs w:val="24"/>
              </w:rPr>
            </w:pPr>
            <w:r>
              <w:rPr>
                <w:rFonts w:ascii="CorpoS" w:hAnsi="CorpoS"/>
                <w:szCs w:val="24"/>
              </w:rPr>
              <w:t>Increase in the mid twenty-</w:t>
            </w:r>
            <w:r w:rsidR="00825612">
              <w:rPr>
                <w:rFonts w:ascii="CorpoS" w:hAnsi="CorpoS"/>
                <w:szCs w:val="24"/>
              </w:rPr>
              <w:t>percent range</w:t>
            </w:r>
          </w:p>
        </w:tc>
        <w:tc>
          <w:tcPr>
            <w:tcW w:w="3254" w:type="dxa"/>
          </w:tcPr>
          <w:p w:rsidR="00825612" w:rsidRPr="00F333A5" w:rsidRDefault="009C4679" w:rsidP="009C4679">
            <w:pPr>
              <w:tabs>
                <w:tab w:val="left" w:pos="7655"/>
                <w:tab w:val="left" w:pos="9072"/>
              </w:tabs>
              <w:spacing w:line="300" w:lineRule="exact"/>
              <w:ind w:right="283"/>
              <w:jc w:val="both"/>
              <w:rPr>
                <w:rFonts w:ascii="CorpoS" w:hAnsi="CorpoS"/>
                <w:szCs w:val="24"/>
              </w:rPr>
            </w:pPr>
            <w:r>
              <w:rPr>
                <w:rFonts w:ascii="CorpoS" w:hAnsi="CorpoS"/>
                <w:szCs w:val="24"/>
              </w:rPr>
              <w:t xml:space="preserve">Exceeding 2019 </w:t>
            </w:r>
            <w:r w:rsidR="00825612">
              <w:rPr>
                <w:rFonts w:ascii="CorpoS" w:hAnsi="CorpoS"/>
                <w:szCs w:val="24"/>
              </w:rPr>
              <w:t>level</w:t>
            </w:r>
          </w:p>
        </w:tc>
      </w:tr>
      <w:tr w:rsidR="00825612" w:rsidRPr="00065488" w:rsidTr="005B387A">
        <w:tc>
          <w:tcPr>
            <w:tcW w:w="2689" w:type="dxa"/>
          </w:tcPr>
          <w:p w:rsidR="00825612" w:rsidRPr="00F333A5" w:rsidRDefault="00825612" w:rsidP="00825612">
            <w:pPr>
              <w:tabs>
                <w:tab w:val="left" w:pos="7655"/>
                <w:tab w:val="left" w:pos="9072"/>
              </w:tabs>
              <w:spacing w:line="300" w:lineRule="exact"/>
              <w:ind w:right="283"/>
              <w:jc w:val="both"/>
              <w:rPr>
                <w:rFonts w:ascii="CorpoS" w:hAnsi="CorpoS"/>
                <w:szCs w:val="24"/>
              </w:rPr>
            </w:pPr>
            <w:r>
              <w:rPr>
                <w:rFonts w:ascii="CorpoS" w:hAnsi="CorpoS"/>
                <w:szCs w:val="24"/>
              </w:rPr>
              <w:t>Adjusted net income</w:t>
            </w:r>
          </w:p>
        </w:tc>
        <w:tc>
          <w:tcPr>
            <w:tcW w:w="3402" w:type="dxa"/>
          </w:tcPr>
          <w:p w:rsidR="00825612" w:rsidRPr="005A7339" w:rsidRDefault="00825612" w:rsidP="00825612">
            <w:pPr>
              <w:jc w:val="both"/>
              <w:rPr>
                <w:rFonts w:ascii="CorpoS" w:hAnsi="CorpoS"/>
                <w:sz w:val="22"/>
                <w:szCs w:val="22"/>
              </w:rPr>
            </w:pPr>
            <w:r>
              <w:rPr>
                <w:rFonts w:ascii="CorpoS" w:hAnsi="CorpoS"/>
                <w:szCs w:val="24"/>
              </w:rPr>
              <w:t>Development in line with adjusted EBIT</w:t>
            </w:r>
          </w:p>
        </w:tc>
        <w:tc>
          <w:tcPr>
            <w:tcW w:w="3254" w:type="dxa"/>
          </w:tcPr>
          <w:p w:rsidR="00825612" w:rsidRPr="006B0DF9" w:rsidRDefault="00825612" w:rsidP="00825612">
            <w:pPr>
              <w:tabs>
                <w:tab w:val="left" w:pos="7655"/>
                <w:tab w:val="left" w:pos="9072"/>
              </w:tabs>
              <w:spacing w:line="300" w:lineRule="exact"/>
              <w:ind w:right="283"/>
              <w:jc w:val="both"/>
              <w:rPr>
                <w:rFonts w:ascii="CorpoS" w:hAnsi="CorpoS"/>
                <w:szCs w:val="24"/>
              </w:rPr>
            </w:pPr>
          </w:p>
        </w:tc>
      </w:tr>
    </w:tbl>
    <w:p w:rsidR="0033584F" w:rsidRPr="006B0DF9" w:rsidRDefault="0033584F" w:rsidP="001200C9">
      <w:pPr>
        <w:tabs>
          <w:tab w:val="left" w:pos="7655"/>
          <w:tab w:val="left" w:pos="9072"/>
        </w:tabs>
        <w:spacing w:line="300" w:lineRule="exact"/>
        <w:ind w:right="283"/>
        <w:jc w:val="both"/>
        <w:rPr>
          <w:rFonts w:ascii="CorpoS" w:hAnsi="CorpoS"/>
          <w:color w:val="FF0000"/>
          <w:szCs w:val="24"/>
        </w:rPr>
      </w:pPr>
    </w:p>
    <w:p w:rsidR="00285633" w:rsidRPr="006B0DF9" w:rsidRDefault="00285633" w:rsidP="00C51A14">
      <w:pPr>
        <w:tabs>
          <w:tab w:val="left" w:pos="7655"/>
          <w:tab w:val="left" w:pos="9072"/>
        </w:tabs>
        <w:spacing w:line="300" w:lineRule="exact"/>
        <w:ind w:right="283"/>
        <w:jc w:val="both"/>
        <w:rPr>
          <w:rFonts w:ascii="CorpoS" w:hAnsi="CorpoS"/>
          <w:sz w:val="22"/>
          <w:szCs w:val="22"/>
        </w:rPr>
      </w:pPr>
    </w:p>
    <w:p w:rsidR="003E78C5" w:rsidRDefault="003E78C5" w:rsidP="003E78C5">
      <w:pPr>
        <w:ind w:right="1984"/>
        <w:jc w:val="both"/>
        <w:rPr>
          <w:rFonts w:ascii="CorpoS" w:hAnsi="CorpoS"/>
          <w:b/>
          <w:sz w:val="20"/>
          <w:u w:val="single"/>
        </w:rPr>
      </w:pPr>
      <w:r>
        <w:rPr>
          <w:rFonts w:ascii="CorpoS" w:hAnsi="CorpoS"/>
          <w:b/>
          <w:sz w:val="20"/>
          <w:u w:val="single"/>
        </w:rPr>
        <w:t>About MTU Aero Engines</w:t>
      </w:r>
    </w:p>
    <w:p w:rsidR="003E78C5" w:rsidRPr="007425D1" w:rsidRDefault="003E78C5" w:rsidP="003E78C5">
      <w:pPr>
        <w:ind w:right="424"/>
        <w:jc w:val="both"/>
        <w:rPr>
          <w:rFonts w:ascii="CorpoS" w:hAnsi="CorpoS"/>
          <w:sz w:val="20"/>
        </w:rPr>
      </w:pPr>
      <w:r>
        <w:rPr>
          <w:rFonts w:ascii="CorpoS" w:hAnsi="CorpoS"/>
          <w:sz w:val="20"/>
        </w:rPr>
        <w:t>MTU Aero Engines is Germany’s leading engine manufacturer. The company is a technological leader in low-pressure turbines, high-pressure compressors, turbine center frames as well as manufacturing processes and repair techniques. In the commercial OEM business, the company plays a key role in the development, manufacturing and marketing of high-tech components together with international partners. Some 30 percent of today’s active aircraft in service worldwide have MTU components on board. In the commercial maintenance sector the company ranks among the top 3 service providers for commercial aircraft engines and industrial gas turbines. The activities are combined under the roof of MTU Maintenance. In the military arena, MTU Aero Engines is Germany’s industrial lead company for practically all engines operated by the country’s military. MTU operates a network of locations around the globe; Munich is home to its corporate headquarters.</w:t>
      </w:r>
    </w:p>
    <w:p w:rsidR="008D56E3" w:rsidRPr="006B0DF9" w:rsidRDefault="008D56E3" w:rsidP="003E78C5">
      <w:pPr>
        <w:ind w:right="424"/>
        <w:jc w:val="both"/>
        <w:rPr>
          <w:rFonts w:ascii="CorpoS" w:hAnsi="CorpoS" w:cs="Arial"/>
          <w:sz w:val="20"/>
        </w:rPr>
      </w:pPr>
      <w:bookmarkStart w:id="0" w:name="_GoBack"/>
      <w:bookmarkEnd w:id="0"/>
    </w:p>
    <w:p w:rsidR="008D56E3" w:rsidRPr="006B0DF9" w:rsidRDefault="008D56E3" w:rsidP="003E78C5">
      <w:pPr>
        <w:ind w:right="424"/>
        <w:jc w:val="both"/>
        <w:rPr>
          <w:rFonts w:ascii="CorpoS" w:hAnsi="CorpoS" w:cs="Arial"/>
          <w:sz w:val="20"/>
        </w:rPr>
      </w:pPr>
    </w:p>
    <w:p w:rsidR="003E78C5" w:rsidRPr="006166B4" w:rsidRDefault="003E78C5" w:rsidP="003E78C5">
      <w:pPr>
        <w:rPr>
          <w:rFonts w:ascii="CorpoS" w:hAnsi="CorpoS"/>
          <w:sz w:val="20"/>
          <w:u w:val="single"/>
        </w:rPr>
      </w:pPr>
      <w:r>
        <w:rPr>
          <w:rFonts w:ascii="CorpoS" w:hAnsi="CorpoS"/>
          <w:sz w:val="20"/>
          <w:u w:val="single"/>
        </w:rPr>
        <w:t>Your contacts:</w:t>
      </w:r>
    </w:p>
    <w:p w:rsidR="003E78C5" w:rsidRPr="006166B4" w:rsidRDefault="003E78C5" w:rsidP="003E78C5">
      <w:pPr>
        <w:rPr>
          <w:rFonts w:ascii="CorpoS" w:hAnsi="CorpoS"/>
          <w:sz w:val="20"/>
        </w:rPr>
      </w:pPr>
      <w:r>
        <w:rPr>
          <w:rFonts w:ascii="CorpoS" w:hAnsi="CorpoS"/>
          <w:sz w:val="20"/>
        </w:rPr>
        <w:t xml:space="preserve">Eckhard </w:t>
      </w:r>
      <w:proofErr w:type="spellStart"/>
      <w:r>
        <w:rPr>
          <w:rFonts w:ascii="CorpoS" w:hAnsi="CorpoS"/>
          <w:sz w:val="20"/>
        </w:rPr>
        <w:t>Zanger</w:t>
      </w:r>
      <w:proofErr w:type="spellEnd"/>
      <w:r>
        <w:rPr>
          <w:rFonts w:ascii="CorpoS" w:hAnsi="CorpoS"/>
          <w:sz w:val="20"/>
        </w:rPr>
        <w:tab/>
      </w:r>
      <w:r>
        <w:rPr>
          <w:rFonts w:ascii="CorpoS" w:hAnsi="CorpoS"/>
          <w:sz w:val="20"/>
        </w:rPr>
        <w:tab/>
      </w:r>
      <w:r>
        <w:rPr>
          <w:rFonts w:ascii="CorpoS" w:hAnsi="CorpoS"/>
          <w:sz w:val="20"/>
        </w:rPr>
        <w:tab/>
      </w:r>
      <w:r>
        <w:rPr>
          <w:rFonts w:ascii="CorpoS" w:hAnsi="CorpoS"/>
          <w:sz w:val="20"/>
        </w:rPr>
        <w:tab/>
      </w:r>
      <w:r>
        <w:rPr>
          <w:rFonts w:ascii="CorpoS" w:hAnsi="CorpoS"/>
          <w:sz w:val="20"/>
        </w:rPr>
        <w:tab/>
      </w:r>
      <w:r>
        <w:rPr>
          <w:rFonts w:ascii="CorpoS" w:hAnsi="CorpoS"/>
          <w:sz w:val="20"/>
        </w:rPr>
        <w:tab/>
        <w:t>Eva Simon</w:t>
      </w:r>
    </w:p>
    <w:p w:rsidR="003E78C5" w:rsidRPr="006166B4" w:rsidRDefault="003E78C5" w:rsidP="003E78C5">
      <w:pPr>
        <w:rPr>
          <w:rFonts w:ascii="CorpoS" w:hAnsi="CorpoS"/>
          <w:sz w:val="20"/>
        </w:rPr>
      </w:pPr>
      <w:r>
        <w:rPr>
          <w:rFonts w:ascii="CorpoS" w:hAnsi="CorpoS"/>
          <w:sz w:val="20"/>
        </w:rPr>
        <w:t>Senior Vice President Corporate Communications</w:t>
      </w:r>
      <w:r>
        <w:rPr>
          <w:rFonts w:ascii="CorpoS" w:hAnsi="CorpoS"/>
          <w:sz w:val="20"/>
        </w:rPr>
        <w:tab/>
      </w:r>
      <w:r>
        <w:rPr>
          <w:rFonts w:ascii="CorpoS" w:hAnsi="CorpoS"/>
          <w:sz w:val="20"/>
        </w:rPr>
        <w:tab/>
        <w:t>Press Officer Finance</w:t>
      </w:r>
    </w:p>
    <w:p w:rsidR="003E78C5" w:rsidRPr="00E942B3" w:rsidRDefault="003E78C5" w:rsidP="003E78C5">
      <w:pPr>
        <w:rPr>
          <w:rFonts w:ascii="CorpoS" w:hAnsi="CorpoS"/>
          <w:sz w:val="20"/>
        </w:rPr>
      </w:pPr>
      <w:r>
        <w:rPr>
          <w:rFonts w:ascii="CorpoS" w:hAnsi="CorpoS"/>
          <w:sz w:val="20"/>
        </w:rPr>
        <w:t xml:space="preserve">and Public Affairs </w:t>
      </w:r>
      <w:r>
        <w:rPr>
          <w:rFonts w:ascii="CorpoS" w:hAnsi="CorpoS"/>
          <w:sz w:val="20"/>
        </w:rPr>
        <w:tab/>
      </w:r>
    </w:p>
    <w:p w:rsidR="003E78C5" w:rsidRPr="00E942B3" w:rsidRDefault="003E78C5" w:rsidP="003E78C5">
      <w:pPr>
        <w:rPr>
          <w:rFonts w:ascii="CorpoS" w:hAnsi="CorpoS"/>
          <w:sz w:val="20"/>
        </w:rPr>
      </w:pPr>
      <w:r>
        <w:rPr>
          <w:rFonts w:ascii="CorpoS" w:hAnsi="CorpoS"/>
          <w:sz w:val="20"/>
        </w:rPr>
        <w:t>Tel.: + 49 (0)89 14 89-91 13</w:t>
      </w:r>
      <w:r>
        <w:rPr>
          <w:rFonts w:ascii="CorpoS" w:hAnsi="CorpoS"/>
          <w:sz w:val="20"/>
        </w:rPr>
        <w:tab/>
      </w:r>
      <w:r>
        <w:rPr>
          <w:rFonts w:ascii="CorpoS" w:hAnsi="CorpoS"/>
          <w:sz w:val="20"/>
        </w:rPr>
        <w:tab/>
      </w:r>
      <w:r>
        <w:rPr>
          <w:rFonts w:ascii="CorpoS" w:hAnsi="CorpoS"/>
          <w:sz w:val="20"/>
        </w:rPr>
        <w:tab/>
      </w:r>
      <w:r>
        <w:rPr>
          <w:rFonts w:ascii="CorpoS" w:hAnsi="CorpoS"/>
          <w:sz w:val="20"/>
        </w:rPr>
        <w:tab/>
        <w:t>Tel.: +49 (0)89 14 89-43 32</w:t>
      </w:r>
      <w:r>
        <w:rPr>
          <w:rFonts w:ascii="CorpoS" w:hAnsi="CorpoS"/>
          <w:sz w:val="20"/>
        </w:rPr>
        <w:tab/>
      </w:r>
    </w:p>
    <w:p w:rsidR="003E78C5" w:rsidRPr="006166B4" w:rsidRDefault="003E78C5" w:rsidP="003E78C5">
      <w:pPr>
        <w:rPr>
          <w:rFonts w:ascii="CorpoS" w:hAnsi="CorpoS"/>
          <w:sz w:val="20"/>
        </w:rPr>
      </w:pPr>
      <w:r>
        <w:rPr>
          <w:rFonts w:ascii="CorpoS" w:hAnsi="CorpoS"/>
          <w:sz w:val="20"/>
        </w:rPr>
        <w:t>Mobile: + 49 (0) 176-1000 6158</w:t>
      </w:r>
      <w:r>
        <w:rPr>
          <w:rFonts w:ascii="CorpoS" w:hAnsi="CorpoS"/>
          <w:sz w:val="20"/>
        </w:rPr>
        <w:tab/>
      </w:r>
      <w:r>
        <w:rPr>
          <w:rFonts w:ascii="CorpoS" w:hAnsi="CorpoS"/>
          <w:sz w:val="20"/>
        </w:rPr>
        <w:tab/>
      </w:r>
      <w:r>
        <w:rPr>
          <w:rFonts w:ascii="CorpoS" w:hAnsi="CorpoS"/>
          <w:sz w:val="20"/>
        </w:rPr>
        <w:tab/>
      </w:r>
      <w:r>
        <w:rPr>
          <w:rFonts w:ascii="CorpoS" w:hAnsi="CorpoS"/>
          <w:sz w:val="20"/>
        </w:rPr>
        <w:tab/>
        <w:t>Mobile: +49 (0) 176-1008 4162</w:t>
      </w:r>
    </w:p>
    <w:p w:rsidR="003E78C5" w:rsidRPr="006166B4" w:rsidRDefault="003E78C5" w:rsidP="003E78C5">
      <w:pPr>
        <w:rPr>
          <w:rFonts w:ascii="CorpoS" w:hAnsi="CorpoS"/>
          <w:sz w:val="20"/>
        </w:rPr>
      </w:pPr>
      <w:r>
        <w:rPr>
          <w:rFonts w:ascii="CorpoS" w:hAnsi="CorpoS"/>
          <w:sz w:val="20"/>
        </w:rPr>
        <w:t xml:space="preserve">Email: Eckhard.Zanger@mtu.de  </w:t>
      </w:r>
      <w:r>
        <w:rPr>
          <w:rFonts w:ascii="CorpoS" w:hAnsi="CorpoS"/>
          <w:sz w:val="20"/>
        </w:rPr>
        <w:tab/>
      </w:r>
      <w:r>
        <w:rPr>
          <w:rFonts w:ascii="CorpoS" w:hAnsi="CorpoS"/>
          <w:sz w:val="20"/>
        </w:rPr>
        <w:tab/>
      </w:r>
      <w:r>
        <w:rPr>
          <w:rFonts w:ascii="CorpoS" w:hAnsi="CorpoS"/>
          <w:sz w:val="20"/>
        </w:rPr>
        <w:tab/>
      </w:r>
      <w:r>
        <w:rPr>
          <w:rFonts w:ascii="CorpoS" w:hAnsi="CorpoS"/>
          <w:sz w:val="20"/>
        </w:rPr>
        <w:tab/>
        <w:t>Email: Eva.Simon@mtu.de</w:t>
      </w:r>
    </w:p>
    <w:p w:rsidR="003E78C5" w:rsidRPr="006B0DF9" w:rsidRDefault="003E78C5" w:rsidP="003E78C5">
      <w:pPr>
        <w:rPr>
          <w:rFonts w:ascii="CorpoS" w:hAnsi="CorpoS"/>
          <w:szCs w:val="24"/>
          <w:u w:val="single"/>
        </w:rPr>
      </w:pPr>
    </w:p>
    <w:p w:rsidR="003E78C5" w:rsidRPr="006166B4" w:rsidRDefault="003E78C5" w:rsidP="003E78C5">
      <w:pPr>
        <w:pStyle w:val="MTUBodycopy"/>
        <w:tabs>
          <w:tab w:val="left" w:pos="8505"/>
        </w:tabs>
        <w:ind w:right="1984"/>
        <w:jc w:val="both"/>
        <w:rPr>
          <w:i/>
        </w:rPr>
      </w:pPr>
      <w:r>
        <w:rPr>
          <w:i/>
        </w:rPr>
        <w:t xml:space="preserve">All press releases and images are available at </w:t>
      </w:r>
      <w:hyperlink r:id="rId8" w:history="1">
        <w:r>
          <w:rPr>
            <w:rStyle w:val="Hyperlink"/>
            <w:i/>
            <w:color w:val="auto"/>
          </w:rPr>
          <w:t>http://www.mtu.de</w:t>
        </w:r>
      </w:hyperlink>
    </w:p>
    <w:p w:rsidR="003E78C5" w:rsidRPr="006B0DF9" w:rsidRDefault="003E78C5" w:rsidP="003E78C5">
      <w:pPr>
        <w:pStyle w:val="MTUBodycopy"/>
        <w:tabs>
          <w:tab w:val="left" w:pos="8505"/>
        </w:tabs>
        <w:ind w:right="1984"/>
        <w:jc w:val="both"/>
        <w:rPr>
          <w:i/>
        </w:rPr>
      </w:pPr>
    </w:p>
    <w:p w:rsidR="003E78C5" w:rsidRPr="006166B4" w:rsidRDefault="003E78C5" w:rsidP="003E78C5">
      <w:pPr>
        <w:rPr>
          <w:rStyle w:val="h41"/>
          <w:rFonts w:ascii="CorpoS" w:hAnsi="CorpoS"/>
          <w:color w:val="auto"/>
          <w:sz w:val="16"/>
          <w:szCs w:val="16"/>
        </w:rPr>
      </w:pPr>
      <w:r>
        <w:rPr>
          <w:rStyle w:val="h41"/>
          <w:rFonts w:ascii="CorpoS" w:hAnsi="CorpoS"/>
          <w:color w:val="auto"/>
          <w:sz w:val="16"/>
          <w:szCs w:val="16"/>
        </w:rPr>
        <w:t>Cautionary note regarding forward-looking statements</w:t>
      </w:r>
    </w:p>
    <w:p w:rsidR="003E78C5" w:rsidRPr="006B0DF9" w:rsidRDefault="003E78C5" w:rsidP="003E78C5">
      <w:pPr>
        <w:rPr>
          <w:rFonts w:ascii="CorpoS" w:hAnsi="CorpoS"/>
          <w:sz w:val="16"/>
          <w:szCs w:val="16"/>
        </w:rPr>
      </w:pPr>
    </w:p>
    <w:p w:rsidR="003E78C5" w:rsidRPr="006166B4" w:rsidRDefault="003E78C5" w:rsidP="003E78C5">
      <w:pPr>
        <w:ind w:right="283"/>
        <w:jc w:val="both"/>
        <w:rPr>
          <w:rFonts w:ascii="CorpoS" w:hAnsi="CorpoS"/>
          <w:b/>
          <w:sz w:val="22"/>
          <w:szCs w:val="22"/>
        </w:rPr>
      </w:pPr>
      <w:r>
        <w:rPr>
          <w:rFonts w:ascii="CorpoS" w:hAnsi="CorpoS"/>
          <w:sz w:val="16"/>
          <w:szCs w:val="16"/>
        </w:rPr>
        <w:t xml:space="preserve">Certain of the statements contained herein may be statements of future expectations and other forward-looking statements that are based on management’s current views and assumptions and involve known and unknown risks and uncertainties that could cause actual results, performance or events to differ materially from those expressed or implied in such statements. Actual results, performance or events may differ </w:t>
      </w:r>
      <w:r>
        <w:rPr>
          <w:rFonts w:ascii="CorpoS" w:hAnsi="CorpoS"/>
          <w:sz w:val="16"/>
          <w:szCs w:val="16"/>
        </w:rPr>
        <w:lastRenderedPageBreak/>
        <w:t>materially from those in such statements due to, without limitation, competition from other companies in MTU Aero Engines’ industry and MTU Aero Engines’ ability to retain or increase its market share, the cyclicality of the airline industry, risks related to MTU Aero Engines’ participation in consortia and risk and revenue sharing agreements for new aero engine programs, risks associated with the capital markets, currency exchange rate fluctuations, regulations affecting MTU Aero Engines’ business and MTU Aero Engines’ ability to respond to changes in the regulatory environment, and other factors. Many of these factors may be more likely to occur, or more pronounced, as a result of terrorist activities and their consequences. MTU Aero Engines assumes no obligation to update any forward-looking statement.</w:t>
      </w:r>
    </w:p>
    <w:p w:rsidR="003E78C5" w:rsidRPr="006B0DF9" w:rsidRDefault="003E78C5" w:rsidP="003E78C5">
      <w:pPr>
        <w:ind w:right="1984"/>
        <w:jc w:val="both"/>
        <w:rPr>
          <w:rFonts w:ascii="CorpoS" w:hAnsi="CorpoS"/>
          <w:b/>
          <w:sz w:val="22"/>
          <w:szCs w:val="22"/>
        </w:rPr>
      </w:pPr>
    </w:p>
    <w:p w:rsidR="00DD64E9" w:rsidRPr="006B0DF9" w:rsidRDefault="00DD64E9" w:rsidP="003E78C5">
      <w:pPr>
        <w:ind w:right="1984"/>
        <w:jc w:val="both"/>
        <w:rPr>
          <w:rFonts w:ascii="CorpoS" w:hAnsi="CorpoS"/>
          <w:b/>
          <w:sz w:val="22"/>
          <w:szCs w:val="22"/>
        </w:rPr>
      </w:pPr>
    </w:p>
    <w:sectPr w:rsidR="00DD64E9" w:rsidRPr="006B0DF9" w:rsidSect="00694A29">
      <w:headerReference w:type="default" r:id="rId9"/>
      <w:footerReference w:type="default" r:id="rId10"/>
      <w:headerReference w:type="first" r:id="rId11"/>
      <w:footerReference w:type="first" r:id="rId12"/>
      <w:type w:val="continuous"/>
      <w:pgSz w:w="11907" w:h="16840" w:code="9"/>
      <w:pgMar w:top="2663" w:right="1134" w:bottom="2268"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9D" w:rsidRDefault="00AC469D">
      <w:r>
        <w:separator/>
      </w:r>
    </w:p>
  </w:endnote>
  <w:endnote w:type="continuationSeparator" w:id="0">
    <w:p w:rsidR="00AC469D" w:rsidRDefault="00AC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C" w:rsidRDefault="0095192C">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C" w:rsidRDefault="0095192C">
    <w:pPr>
      <w:pStyle w:val="Fuzeile"/>
      <w:spacing w:line="160" w:lineRule="exact"/>
      <w:rPr>
        <w:rFonts w:ascii="CorpoS" w:hAnsi="CorpoS"/>
        <w:color w:val="000000"/>
        <w:sz w:val="15"/>
      </w:rPr>
    </w:pPr>
    <w:r>
      <w:rPr>
        <w:rFonts w:ascii="CorpoS" w:hAnsi="CorpoS"/>
        <w:color w:val="000000"/>
        <w:sz w:val="15"/>
      </w:rPr>
      <w:t>MTU Aero Engines AG</w:t>
    </w:r>
  </w:p>
  <w:p w:rsidR="0095192C" w:rsidRDefault="0095192C">
    <w:pPr>
      <w:pStyle w:val="Fuzeile"/>
      <w:spacing w:line="160" w:lineRule="exact"/>
      <w:rPr>
        <w:rFonts w:ascii="CorpoS" w:hAnsi="CorpoS"/>
        <w:color w:val="000000"/>
        <w:sz w:val="15"/>
      </w:rPr>
    </w:pPr>
    <w:r>
      <w:rPr>
        <w:rFonts w:ascii="CorpoS" w:hAnsi="CorpoS"/>
        <w:color w:val="000000"/>
        <w:sz w:val="15"/>
      </w:rPr>
      <w:t>Corporate Communications</w:t>
    </w:r>
  </w:p>
  <w:p w:rsidR="0095192C" w:rsidRPr="00150467" w:rsidRDefault="0095192C">
    <w:pPr>
      <w:pStyle w:val="Fuzeile"/>
      <w:spacing w:line="160" w:lineRule="exact"/>
      <w:rPr>
        <w:rFonts w:ascii="CorpoS" w:hAnsi="CorpoS"/>
        <w:color w:val="000000"/>
        <w:sz w:val="15"/>
      </w:rPr>
    </w:pPr>
    <w:r>
      <w:rPr>
        <w:rFonts w:ascii="CorpoS" w:hAnsi="CorpoS"/>
        <w:color w:val="000000"/>
        <w:sz w:val="15"/>
      </w:rPr>
      <w:t>and Public Affairs</w:t>
    </w:r>
  </w:p>
  <w:p w:rsidR="0095192C" w:rsidRPr="00150467" w:rsidRDefault="0095192C">
    <w:pPr>
      <w:pStyle w:val="Fuzeile"/>
      <w:spacing w:line="160" w:lineRule="exact"/>
      <w:rPr>
        <w:rFonts w:ascii="CorpoS" w:hAnsi="CorpoS"/>
        <w:color w:val="000000"/>
        <w:sz w:val="15"/>
      </w:rPr>
    </w:pPr>
    <w:proofErr w:type="spellStart"/>
    <w:r>
      <w:rPr>
        <w:rFonts w:ascii="CorpoS" w:hAnsi="CorpoS"/>
        <w:color w:val="000000"/>
        <w:sz w:val="15"/>
      </w:rPr>
      <w:t>Dachauer</w:t>
    </w:r>
    <w:proofErr w:type="spellEnd"/>
    <w:r>
      <w:rPr>
        <w:rFonts w:ascii="CorpoS" w:hAnsi="CorpoS"/>
        <w:color w:val="000000"/>
        <w:sz w:val="15"/>
      </w:rPr>
      <w:t xml:space="preserve"> </w:t>
    </w:r>
    <w:proofErr w:type="spellStart"/>
    <w:r>
      <w:rPr>
        <w:rFonts w:ascii="CorpoS" w:hAnsi="CorpoS"/>
        <w:color w:val="000000"/>
        <w:sz w:val="15"/>
      </w:rPr>
      <w:t>Strasse</w:t>
    </w:r>
    <w:proofErr w:type="spellEnd"/>
    <w:r>
      <w:rPr>
        <w:rFonts w:ascii="CorpoS" w:hAnsi="CorpoS"/>
        <w:color w:val="000000"/>
        <w:sz w:val="15"/>
      </w:rPr>
      <w:t xml:space="preserve"> 665</w:t>
    </w:r>
  </w:p>
  <w:p w:rsidR="0095192C" w:rsidRDefault="0095192C">
    <w:pPr>
      <w:pStyle w:val="Fuzeile"/>
      <w:spacing w:line="160" w:lineRule="exact"/>
      <w:rPr>
        <w:rFonts w:ascii="CorpoS" w:hAnsi="CorpoS"/>
        <w:color w:val="000000"/>
        <w:sz w:val="15"/>
      </w:rPr>
    </w:pPr>
    <w:r>
      <w:rPr>
        <w:rFonts w:ascii="CorpoS" w:hAnsi="CorpoS"/>
        <w:color w:val="000000"/>
        <w:sz w:val="15"/>
      </w:rPr>
      <w:t>80995 Munich • Germany</w:t>
    </w:r>
  </w:p>
  <w:p w:rsidR="0095192C" w:rsidRDefault="0095192C">
    <w:pPr>
      <w:pStyle w:val="Fuzeile"/>
      <w:tabs>
        <w:tab w:val="clear" w:pos="4320"/>
        <w:tab w:val="clear" w:pos="8640"/>
        <w:tab w:val="left" w:pos="369"/>
      </w:tabs>
      <w:spacing w:line="160" w:lineRule="exact"/>
      <w:rPr>
        <w:rFonts w:ascii="CorpoS" w:hAnsi="CorpoS"/>
        <w:color w:val="000000"/>
        <w:sz w:val="15"/>
      </w:rPr>
    </w:pPr>
    <w:r>
      <w:rPr>
        <w:rFonts w:ascii="CorpoS" w:hAnsi="CorpoS"/>
        <w:color w:val="000000"/>
        <w:sz w:val="15"/>
      </w:rPr>
      <w:t>Phone</w:t>
    </w:r>
    <w:r>
      <w:rPr>
        <w:rFonts w:ascii="CorpoS" w:hAnsi="CorpoS"/>
        <w:color w:val="000000"/>
        <w:sz w:val="15"/>
      </w:rPr>
      <w:tab/>
      <w:t>+49 (0)89 14 89-26 98</w:t>
    </w:r>
  </w:p>
  <w:p w:rsidR="0095192C" w:rsidRDefault="0095192C">
    <w:pPr>
      <w:pStyle w:val="Fuzeile"/>
      <w:tabs>
        <w:tab w:val="clear" w:pos="4320"/>
        <w:tab w:val="clear" w:pos="8640"/>
        <w:tab w:val="left" w:pos="369"/>
      </w:tabs>
      <w:spacing w:line="160" w:lineRule="exact"/>
      <w:rPr>
        <w:rFonts w:ascii="CorpoS" w:hAnsi="CorpoS"/>
        <w:color w:val="000000"/>
        <w:sz w:val="15"/>
      </w:rPr>
    </w:pPr>
    <w:r>
      <w:rPr>
        <w:rFonts w:ascii="CorpoS" w:hAnsi="CorpoS"/>
        <w:color w:val="000000"/>
        <w:sz w:val="15"/>
      </w:rPr>
      <w:t>Fax</w:t>
    </w:r>
    <w:r>
      <w:rPr>
        <w:rFonts w:ascii="CorpoS" w:hAnsi="CorpoS"/>
        <w:color w:val="000000"/>
        <w:sz w:val="15"/>
      </w:rPr>
      <w:tab/>
      <w:t>+49 (0)89 14 89-87 57</w:t>
    </w:r>
  </w:p>
  <w:p w:rsidR="0095192C" w:rsidRDefault="0095192C">
    <w:pPr>
      <w:pStyle w:val="Fuzeile"/>
    </w:pPr>
    <w:r>
      <w:rPr>
        <w:rFonts w:ascii="CorpoS" w:hAnsi="CorpoS"/>
        <w:color w:val="000000"/>
        <w:sz w:val="15"/>
      </w:rPr>
      <w:t>www.mtu.de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9D" w:rsidRDefault="00AC469D">
      <w:r>
        <w:separator/>
      </w:r>
    </w:p>
  </w:footnote>
  <w:footnote w:type="continuationSeparator" w:id="0">
    <w:p w:rsidR="00AC469D" w:rsidRDefault="00AC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C" w:rsidRDefault="0095192C">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14:anchorId="3CD228F6" wp14:editId="657A280D">
          <wp:simplePos x="0" y="0"/>
          <wp:positionH relativeFrom="column">
            <wp:posOffset>0</wp:posOffset>
          </wp:positionH>
          <wp:positionV relativeFrom="paragraph">
            <wp:posOffset>6985</wp:posOffset>
          </wp:positionV>
          <wp:extent cx="1616710" cy="789940"/>
          <wp:effectExtent l="0" t="0" r="254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92C" w:rsidRPr="00A775D8" w:rsidRDefault="0095192C" w:rsidP="00A775D8">
    <w:pPr>
      <w:pStyle w:val="Kopfzeile"/>
      <w:rPr>
        <w:sz w:val="2"/>
      </w:rPr>
    </w:pPr>
    <w:r>
      <w:rPr>
        <w:noProof/>
        <w:sz w:val="20"/>
        <w:lang w:val="de-DE" w:eastAsia="zh-CN"/>
      </w:rPr>
      <w:drawing>
        <wp:anchor distT="0" distB="0" distL="114300" distR="114300" simplePos="0" relativeHeight="251658240" behindDoc="0" locked="0" layoutInCell="1" allowOverlap="1" wp14:anchorId="1A5F6DE4" wp14:editId="5A077E45">
          <wp:simplePos x="0" y="0"/>
          <wp:positionH relativeFrom="column">
            <wp:posOffset>0</wp:posOffset>
          </wp:positionH>
          <wp:positionV relativeFrom="paragraph">
            <wp:posOffset>6985</wp:posOffset>
          </wp:positionV>
          <wp:extent cx="1630680" cy="792480"/>
          <wp:effectExtent l="0" t="0" r="7620" b="762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92C" w:rsidRPr="00507889" w:rsidRDefault="0095192C" w:rsidP="00354BD1">
    <w:pPr>
      <w:pStyle w:val="Kopfzeile"/>
      <w:tabs>
        <w:tab w:val="clear" w:pos="4320"/>
        <w:tab w:val="clear" w:pos="8640"/>
        <w:tab w:val="left" w:pos="6521"/>
        <w:tab w:val="left" w:pos="6964"/>
      </w:tabs>
      <w:rPr>
        <w:b/>
        <w:i/>
        <w:sz w:val="28"/>
      </w:rPr>
    </w:pPr>
    <w:r>
      <w:rPr>
        <w:noProof/>
        <w:lang w:val="de-DE" w:eastAsia="zh-CN"/>
      </w:rPr>
      <mc:AlternateContent>
        <mc:Choice Requires="wps">
          <w:drawing>
            <wp:anchor distT="0" distB="0" distL="114300" distR="114300" simplePos="0" relativeHeight="251657216" behindDoc="0" locked="0" layoutInCell="1" allowOverlap="1" wp14:anchorId="6C8410FA" wp14:editId="218C46F3">
              <wp:simplePos x="0" y="0"/>
              <wp:positionH relativeFrom="column">
                <wp:posOffset>2611120</wp:posOffset>
              </wp:positionH>
              <wp:positionV relativeFrom="paragraph">
                <wp:posOffset>178435</wp:posOffset>
              </wp:positionV>
              <wp:extent cx="3128645"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C" w:rsidRPr="00550454" w:rsidRDefault="0095192C" w:rsidP="00B57AE5">
                          <w:pPr>
                            <w:tabs>
                              <w:tab w:val="right" w:pos="2268"/>
                            </w:tabs>
                            <w:rPr>
                              <w:rFonts w:ascii="CorpoSLig" w:hAnsi="CorpoSLig"/>
                              <w:b/>
                              <w:sz w:val="32"/>
                              <w:szCs w:val="32"/>
                            </w:rPr>
                          </w:pPr>
                          <w:r>
                            <w:rPr>
                              <w:rFonts w:ascii="CorpoSLig" w:hAnsi="CorpoSLig"/>
                              <w:b/>
                              <w:sz w:val="32"/>
                              <w:szCs w:val="32"/>
                            </w:rPr>
                            <w:tab/>
                            <w:t xml:space="preserve">                        Press Release</w:t>
                          </w:r>
                        </w:p>
                        <w:p w:rsidR="0095192C" w:rsidRPr="00354BD1" w:rsidRDefault="0095192C"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410FA" id="_x0000_t202" coordsize="21600,21600" o:spt="202" path="m,l,21600r21600,l21600,xe">
              <v:stroke joinstyle="miter"/>
              <v:path gradientshapeok="t" o:connecttype="rect"/>
            </v:shapetype>
            <v:shape id="Text Box 6" o:spid="_x0000_s1026" type="#_x0000_t202" style="position:absolute;margin-left:205.6pt;margin-top:14.05pt;width:246.35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0t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" filled="f" stroked="f">
              <v:textbox inset="0,0,0,0">
                <w:txbxContent>
                  <w:p w:rsidR="0095192C" w:rsidRPr="00550454" w:rsidRDefault="0095192C" w:rsidP="00B57AE5">
                    <w:pPr>
                      <w:tabs>
                        <w:tab w:val="right" w:pos="2268"/>
                      </w:tabs>
                      <w:rPr>
                        <w:b/>
                        <w:sz w:val="32"/>
                        <w:szCs w:val="32"/>
                        <w:rFonts w:ascii="CorpoSLig" w:hAnsi="CorpoSLig"/>
                      </w:rPr>
                    </w:pPr>
                    <w:r>
                      <w:rPr>
                        <w:b/>
                        <w:sz w:val="32"/>
                        <w:szCs w:val="32"/>
                        <w:rFonts w:ascii="CorpoSLig" w:hAnsi="CorpoSLig"/>
                      </w:rPr>
                      <w:tab/>
                    </w:r>
                    <w:r>
                      <w:rPr>
                        <w:b/>
                        <w:sz w:val="32"/>
                        <w:szCs w:val="32"/>
                        <w:rFonts w:ascii="CorpoSLig" w:hAnsi="CorpoSLig"/>
                      </w:rPr>
                      <w:t xml:space="preserve">                        </w:t>
                    </w:r>
                    <w:r>
                      <w:rPr>
                        <w:b/>
                        <w:sz w:val="32"/>
                        <w:szCs w:val="32"/>
                        <w:rFonts w:ascii="CorpoSLig" w:hAnsi="CorpoSLig"/>
                      </w:rPr>
                      <w:t xml:space="preserve">Press Release</w:t>
                    </w:r>
                  </w:p>
                  <w:p w:rsidR="0095192C" w:rsidRPr="00354BD1" w:rsidRDefault="0095192C"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14:anchorId="1D8AA322" wp14:editId="6AA1146F">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2FC1"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rsidR="0095192C" w:rsidRPr="00507889" w:rsidRDefault="0095192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4182D"/>
    <w:multiLevelType w:val="hybridMultilevel"/>
    <w:tmpl w:val="607C0F80"/>
    <w:lvl w:ilvl="0" w:tplc="1B760454">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DC69FF"/>
    <w:multiLevelType w:val="hybridMultilevel"/>
    <w:tmpl w:val="384C1914"/>
    <w:lvl w:ilvl="0" w:tplc="930807E8">
      <w:start w:val="1"/>
      <w:numFmt w:val="bullet"/>
      <w:lvlText w:val=""/>
      <w:lvlJc w:val="left"/>
      <w:pPr>
        <w:tabs>
          <w:tab w:val="num" w:pos="340"/>
        </w:tabs>
        <w:ind w:left="340" w:hanging="340"/>
      </w:pPr>
      <w:rPr>
        <w:rFonts w:ascii="Symbol" w:hAnsi="Symbol" w:hint="default"/>
      </w:rPr>
    </w:lvl>
    <w:lvl w:ilvl="1" w:tplc="CD70FDAE" w:tentative="1">
      <w:start w:val="1"/>
      <w:numFmt w:val="bullet"/>
      <w:lvlText w:val="o"/>
      <w:lvlJc w:val="left"/>
      <w:pPr>
        <w:tabs>
          <w:tab w:val="num" w:pos="1440"/>
        </w:tabs>
        <w:ind w:left="1440" w:hanging="360"/>
      </w:pPr>
      <w:rPr>
        <w:rFonts w:ascii="Courier New" w:hAnsi="Courier New" w:cs="Courier New" w:hint="default"/>
      </w:rPr>
    </w:lvl>
    <w:lvl w:ilvl="2" w:tplc="AEAC68DE" w:tentative="1">
      <w:start w:val="1"/>
      <w:numFmt w:val="bullet"/>
      <w:lvlText w:val=""/>
      <w:lvlJc w:val="left"/>
      <w:pPr>
        <w:tabs>
          <w:tab w:val="num" w:pos="2160"/>
        </w:tabs>
        <w:ind w:left="2160" w:hanging="360"/>
      </w:pPr>
      <w:rPr>
        <w:rFonts w:ascii="Wingdings" w:hAnsi="Wingdings" w:hint="default"/>
      </w:rPr>
    </w:lvl>
    <w:lvl w:ilvl="3" w:tplc="729086A2" w:tentative="1">
      <w:start w:val="1"/>
      <w:numFmt w:val="bullet"/>
      <w:lvlText w:val=""/>
      <w:lvlJc w:val="left"/>
      <w:pPr>
        <w:tabs>
          <w:tab w:val="num" w:pos="2880"/>
        </w:tabs>
        <w:ind w:left="2880" w:hanging="360"/>
      </w:pPr>
      <w:rPr>
        <w:rFonts w:ascii="Symbol" w:hAnsi="Symbol" w:hint="default"/>
      </w:rPr>
    </w:lvl>
    <w:lvl w:ilvl="4" w:tplc="7B445D42" w:tentative="1">
      <w:start w:val="1"/>
      <w:numFmt w:val="bullet"/>
      <w:lvlText w:val="o"/>
      <w:lvlJc w:val="left"/>
      <w:pPr>
        <w:tabs>
          <w:tab w:val="num" w:pos="3600"/>
        </w:tabs>
        <w:ind w:left="3600" w:hanging="360"/>
      </w:pPr>
      <w:rPr>
        <w:rFonts w:ascii="Courier New" w:hAnsi="Courier New" w:cs="Courier New" w:hint="default"/>
      </w:rPr>
    </w:lvl>
    <w:lvl w:ilvl="5" w:tplc="28047316" w:tentative="1">
      <w:start w:val="1"/>
      <w:numFmt w:val="bullet"/>
      <w:lvlText w:val=""/>
      <w:lvlJc w:val="left"/>
      <w:pPr>
        <w:tabs>
          <w:tab w:val="num" w:pos="4320"/>
        </w:tabs>
        <w:ind w:left="4320" w:hanging="360"/>
      </w:pPr>
      <w:rPr>
        <w:rFonts w:ascii="Wingdings" w:hAnsi="Wingdings" w:hint="default"/>
      </w:rPr>
    </w:lvl>
    <w:lvl w:ilvl="6" w:tplc="7DB4E6E0" w:tentative="1">
      <w:start w:val="1"/>
      <w:numFmt w:val="bullet"/>
      <w:lvlText w:val=""/>
      <w:lvlJc w:val="left"/>
      <w:pPr>
        <w:tabs>
          <w:tab w:val="num" w:pos="5040"/>
        </w:tabs>
        <w:ind w:left="5040" w:hanging="360"/>
      </w:pPr>
      <w:rPr>
        <w:rFonts w:ascii="Symbol" w:hAnsi="Symbol" w:hint="default"/>
      </w:rPr>
    </w:lvl>
    <w:lvl w:ilvl="7" w:tplc="D1E8662A" w:tentative="1">
      <w:start w:val="1"/>
      <w:numFmt w:val="bullet"/>
      <w:lvlText w:val="o"/>
      <w:lvlJc w:val="left"/>
      <w:pPr>
        <w:tabs>
          <w:tab w:val="num" w:pos="5760"/>
        </w:tabs>
        <w:ind w:left="5760" w:hanging="360"/>
      </w:pPr>
      <w:rPr>
        <w:rFonts w:ascii="Courier New" w:hAnsi="Courier New" w:cs="Courier New" w:hint="default"/>
      </w:rPr>
    </w:lvl>
    <w:lvl w:ilvl="8" w:tplc="EC0E84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917F5"/>
    <w:multiLevelType w:val="hybridMultilevel"/>
    <w:tmpl w:val="A4640272"/>
    <w:lvl w:ilvl="0" w:tplc="288E40C2">
      <w:start w:val="1"/>
      <w:numFmt w:val="bullet"/>
      <w:lvlText w:val=""/>
      <w:lvlJc w:val="left"/>
      <w:pPr>
        <w:tabs>
          <w:tab w:val="num" w:pos="340"/>
        </w:tabs>
        <w:ind w:left="340" w:hanging="34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67A904DE"/>
    <w:multiLevelType w:val="hybridMultilevel"/>
    <w:tmpl w:val="92FA2E5A"/>
    <w:lvl w:ilvl="0" w:tplc="42F40860">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344AAC"/>
    <w:multiLevelType w:val="hybridMultilevel"/>
    <w:tmpl w:val="2694783E"/>
    <w:lvl w:ilvl="0" w:tplc="EF54159A">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A04611"/>
    <w:multiLevelType w:val="hybridMultilevel"/>
    <w:tmpl w:val="73B2097C"/>
    <w:lvl w:ilvl="0" w:tplc="7FF8D880">
      <w:start w:val="1"/>
      <w:numFmt w:val="bullet"/>
      <w:lvlText w:val=""/>
      <w:lvlJc w:val="left"/>
      <w:pPr>
        <w:tabs>
          <w:tab w:val="num" w:pos="720"/>
        </w:tabs>
        <w:ind w:left="720" w:hanging="360"/>
      </w:pPr>
      <w:rPr>
        <w:rFonts w:ascii="Symbol" w:hAnsi="Symbol" w:hint="default"/>
      </w:rPr>
    </w:lvl>
    <w:lvl w:ilvl="1" w:tplc="5F66210C" w:tentative="1">
      <w:start w:val="1"/>
      <w:numFmt w:val="bullet"/>
      <w:lvlText w:val="o"/>
      <w:lvlJc w:val="left"/>
      <w:pPr>
        <w:tabs>
          <w:tab w:val="num" w:pos="1440"/>
        </w:tabs>
        <w:ind w:left="1440" w:hanging="360"/>
      </w:pPr>
      <w:rPr>
        <w:rFonts w:ascii="Courier New" w:hAnsi="Courier New" w:cs="Courier New" w:hint="default"/>
      </w:rPr>
    </w:lvl>
    <w:lvl w:ilvl="2" w:tplc="16D445F6" w:tentative="1">
      <w:start w:val="1"/>
      <w:numFmt w:val="bullet"/>
      <w:lvlText w:val=""/>
      <w:lvlJc w:val="left"/>
      <w:pPr>
        <w:tabs>
          <w:tab w:val="num" w:pos="2160"/>
        </w:tabs>
        <w:ind w:left="2160" w:hanging="360"/>
      </w:pPr>
      <w:rPr>
        <w:rFonts w:ascii="Wingdings" w:hAnsi="Wingdings" w:hint="default"/>
      </w:rPr>
    </w:lvl>
    <w:lvl w:ilvl="3" w:tplc="4F364E4E" w:tentative="1">
      <w:start w:val="1"/>
      <w:numFmt w:val="bullet"/>
      <w:lvlText w:val=""/>
      <w:lvlJc w:val="left"/>
      <w:pPr>
        <w:tabs>
          <w:tab w:val="num" w:pos="2880"/>
        </w:tabs>
        <w:ind w:left="2880" w:hanging="360"/>
      </w:pPr>
      <w:rPr>
        <w:rFonts w:ascii="Symbol" w:hAnsi="Symbol" w:hint="default"/>
      </w:rPr>
    </w:lvl>
    <w:lvl w:ilvl="4" w:tplc="7B8079FE" w:tentative="1">
      <w:start w:val="1"/>
      <w:numFmt w:val="bullet"/>
      <w:lvlText w:val="o"/>
      <w:lvlJc w:val="left"/>
      <w:pPr>
        <w:tabs>
          <w:tab w:val="num" w:pos="3600"/>
        </w:tabs>
        <w:ind w:left="3600" w:hanging="360"/>
      </w:pPr>
      <w:rPr>
        <w:rFonts w:ascii="Courier New" w:hAnsi="Courier New" w:cs="Courier New" w:hint="default"/>
      </w:rPr>
    </w:lvl>
    <w:lvl w:ilvl="5" w:tplc="71183C76" w:tentative="1">
      <w:start w:val="1"/>
      <w:numFmt w:val="bullet"/>
      <w:lvlText w:val=""/>
      <w:lvlJc w:val="left"/>
      <w:pPr>
        <w:tabs>
          <w:tab w:val="num" w:pos="4320"/>
        </w:tabs>
        <w:ind w:left="4320" w:hanging="360"/>
      </w:pPr>
      <w:rPr>
        <w:rFonts w:ascii="Wingdings" w:hAnsi="Wingdings" w:hint="default"/>
      </w:rPr>
    </w:lvl>
    <w:lvl w:ilvl="6" w:tplc="F3B613B8" w:tentative="1">
      <w:start w:val="1"/>
      <w:numFmt w:val="bullet"/>
      <w:lvlText w:val=""/>
      <w:lvlJc w:val="left"/>
      <w:pPr>
        <w:tabs>
          <w:tab w:val="num" w:pos="5040"/>
        </w:tabs>
        <w:ind w:left="5040" w:hanging="360"/>
      </w:pPr>
      <w:rPr>
        <w:rFonts w:ascii="Symbol" w:hAnsi="Symbol" w:hint="default"/>
      </w:rPr>
    </w:lvl>
    <w:lvl w:ilvl="7" w:tplc="E9666A58" w:tentative="1">
      <w:start w:val="1"/>
      <w:numFmt w:val="bullet"/>
      <w:lvlText w:val="o"/>
      <w:lvlJc w:val="left"/>
      <w:pPr>
        <w:tabs>
          <w:tab w:val="num" w:pos="5760"/>
        </w:tabs>
        <w:ind w:left="5760" w:hanging="360"/>
      </w:pPr>
      <w:rPr>
        <w:rFonts w:ascii="Courier New" w:hAnsi="Courier New" w:cs="Courier New" w:hint="default"/>
      </w:rPr>
    </w:lvl>
    <w:lvl w:ilvl="8" w:tplc="268C11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6"/>
    <w:rsid w:val="00001A69"/>
    <w:rsid w:val="00004618"/>
    <w:rsid w:val="000050EB"/>
    <w:rsid w:val="00007718"/>
    <w:rsid w:val="00007F76"/>
    <w:rsid w:val="00010145"/>
    <w:rsid w:val="00010BAE"/>
    <w:rsid w:val="00014216"/>
    <w:rsid w:val="00014295"/>
    <w:rsid w:val="0001625B"/>
    <w:rsid w:val="000165E8"/>
    <w:rsid w:val="00017987"/>
    <w:rsid w:val="0002022E"/>
    <w:rsid w:val="00020CA2"/>
    <w:rsid w:val="00026E42"/>
    <w:rsid w:val="00031ACB"/>
    <w:rsid w:val="00034C1E"/>
    <w:rsid w:val="0004012A"/>
    <w:rsid w:val="0004088F"/>
    <w:rsid w:val="00041CEC"/>
    <w:rsid w:val="000421FB"/>
    <w:rsid w:val="00042608"/>
    <w:rsid w:val="000468B9"/>
    <w:rsid w:val="00046D7A"/>
    <w:rsid w:val="00050992"/>
    <w:rsid w:val="00051E60"/>
    <w:rsid w:val="00052770"/>
    <w:rsid w:val="00053AE0"/>
    <w:rsid w:val="00053D85"/>
    <w:rsid w:val="000638A5"/>
    <w:rsid w:val="00065075"/>
    <w:rsid w:val="000653A2"/>
    <w:rsid w:val="00065488"/>
    <w:rsid w:val="0006552A"/>
    <w:rsid w:val="000706B8"/>
    <w:rsid w:val="00072045"/>
    <w:rsid w:val="00073BEA"/>
    <w:rsid w:val="00073DD8"/>
    <w:rsid w:val="00074142"/>
    <w:rsid w:val="000746AA"/>
    <w:rsid w:val="00074F55"/>
    <w:rsid w:val="0007603C"/>
    <w:rsid w:val="00084883"/>
    <w:rsid w:val="000860C0"/>
    <w:rsid w:val="000927B0"/>
    <w:rsid w:val="000939E0"/>
    <w:rsid w:val="00094DD7"/>
    <w:rsid w:val="00095107"/>
    <w:rsid w:val="00095C96"/>
    <w:rsid w:val="000968D4"/>
    <w:rsid w:val="000A050F"/>
    <w:rsid w:val="000A1616"/>
    <w:rsid w:val="000A6390"/>
    <w:rsid w:val="000A65E0"/>
    <w:rsid w:val="000B052E"/>
    <w:rsid w:val="000B2DE3"/>
    <w:rsid w:val="000B4D33"/>
    <w:rsid w:val="000B5FA3"/>
    <w:rsid w:val="000B67F6"/>
    <w:rsid w:val="000B75C0"/>
    <w:rsid w:val="000C09A7"/>
    <w:rsid w:val="000C1A76"/>
    <w:rsid w:val="000C21BA"/>
    <w:rsid w:val="000C4212"/>
    <w:rsid w:val="000C4939"/>
    <w:rsid w:val="000C71C8"/>
    <w:rsid w:val="000C7B00"/>
    <w:rsid w:val="000D2758"/>
    <w:rsid w:val="000D2837"/>
    <w:rsid w:val="000D472F"/>
    <w:rsid w:val="000E1C17"/>
    <w:rsid w:val="000E2E12"/>
    <w:rsid w:val="000E553D"/>
    <w:rsid w:val="000E58A2"/>
    <w:rsid w:val="000E5C57"/>
    <w:rsid w:val="000E76D2"/>
    <w:rsid w:val="000F005C"/>
    <w:rsid w:val="000F0BAD"/>
    <w:rsid w:val="000F1C43"/>
    <w:rsid w:val="000F2FF0"/>
    <w:rsid w:val="000F388D"/>
    <w:rsid w:val="000F74AB"/>
    <w:rsid w:val="0010004F"/>
    <w:rsid w:val="00100FBE"/>
    <w:rsid w:val="00101DCF"/>
    <w:rsid w:val="001020B6"/>
    <w:rsid w:val="001051B1"/>
    <w:rsid w:val="001060D0"/>
    <w:rsid w:val="00107445"/>
    <w:rsid w:val="00110DBB"/>
    <w:rsid w:val="001118B5"/>
    <w:rsid w:val="00112591"/>
    <w:rsid w:val="00113450"/>
    <w:rsid w:val="00113459"/>
    <w:rsid w:val="00113504"/>
    <w:rsid w:val="00113984"/>
    <w:rsid w:val="00114447"/>
    <w:rsid w:val="00114DAB"/>
    <w:rsid w:val="00115186"/>
    <w:rsid w:val="0011730A"/>
    <w:rsid w:val="0011733B"/>
    <w:rsid w:val="00117AFF"/>
    <w:rsid w:val="001200C9"/>
    <w:rsid w:val="00122339"/>
    <w:rsid w:val="001235C4"/>
    <w:rsid w:val="00126B24"/>
    <w:rsid w:val="00126FF9"/>
    <w:rsid w:val="00132F2F"/>
    <w:rsid w:val="00141BAC"/>
    <w:rsid w:val="00143677"/>
    <w:rsid w:val="00144D88"/>
    <w:rsid w:val="00147F55"/>
    <w:rsid w:val="00150467"/>
    <w:rsid w:val="00151E2A"/>
    <w:rsid w:val="00156346"/>
    <w:rsid w:val="00161E32"/>
    <w:rsid w:val="001622D3"/>
    <w:rsid w:val="00163004"/>
    <w:rsid w:val="00170367"/>
    <w:rsid w:val="00172C9C"/>
    <w:rsid w:val="00174B20"/>
    <w:rsid w:val="00176577"/>
    <w:rsid w:val="001800ED"/>
    <w:rsid w:val="001802C4"/>
    <w:rsid w:val="00181D71"/>
    <w:rsid w:val="001837BB"/>
    <w:rsid w:val="001877EE"/>
    <w:rsid w:val="001938FE"/>
    <w:rsid w:val="00197CF5"/>
    <w:rsid w:val="001A47CB"/>
    <w:rsid w:val="001A54A7"/>
    <w:rsid w:val="001B1501"/>
    <w:rsid w:val="001B1A7D"/>
    <w:rsid w:val="001B1AE3"/>
    <w:rsid w:val="001B21AD"/>
    <w:rsid w:val="001B434D"/>
    <w:rsid w:val="001B44D2"/>
    <w:rsid w:val="001B4E52"/>
    <w:rsid w:val="001C403E"/>
    <w:rsid w:val="001C53D3"/>
    <w:rsid w:val="001C5559"/>
    <w:rsid w:val="001C5F28"/>
    <w:rsid w:val="001C651B"/>
    <w:rsid w:val="001C6A69"/>
    <w:rsid w:val="001C725D"/>
    <w:rsid w:val="001D120F"/>
    <w:rsid w:val="001D4D29"/>
    <w:rsid w:val="001D5D33"/>
    <w:rsid w:val="001E053A"/>
    <w:rsid w:val="001E0F56"/>
    <w:rsid w:val="001E4AE2"/>
    <w:rsid w:val="001E5591"/>
    <w:rsid w:val="001E56B3"/>
    <w:rsid w:val="001E5784"/>
    <w:rsid w:val="001E6042"/>
    <w:rsid w:val="001E71BD"/>
    <w:rsid w:val="001F304E"/>
    <w:rsid w:val="001F4294"/>
    <w:rsid w:val="001F5A14"/>
    <w:rsid w:val="002037D9"/>
    <w:rsid w:val="00204B1C"/>
    <w:rsid w:val="0021191F"/>
    <w:rsid w:val="0021633B"/>
    <w:rsid w:val="00222DEF"/>
    <w:rsid w:val="0022336E"/>
    <w:rsid w:val="00224550"/>
    <w:rsid w:val="00224BEC"/>
    <w:rsid w:val="00226166"/>
    <w:rsid w:val="00226271"/>
    <w:rsid w:val="002335C6"/>
    <w:rsid w:val="00233F66"/>
    <w:rsid w:val="002342A4"/>
    <w:rsid w:val="00236E3A"/>
    <w:rsid w:val="00237253"/>
    <w:rsid w:val="00237422"/>
    <w:rsid w:val="00243792"/>
    <w:rsid w:val="002437A1"/>
    <w:rsid w:val="002437FE"/>
    <w:rsid w:val="00245B50"/>
    <w:rsid w:val="00251399"/>
    <w:rsid w:val="00252060"/>
    <w:rsid w:val="00254406"/>
    <w:rsid w:val="00254EE7"/>
    <w:rsid w:val="00256BAD"/>
    <w:rsid w:val="00261A60"/>
    <w:rsid w:val="002654C2"/>
    <w:rsid w:val="002675FE"/>
    <w:rsid w:val="00270DD3"/>
    <w:rsid w:val="002718AC"/>
    <w:rsid w:val="00280197"/>
    <w:rsid w:val="00281AA0"/>
    <w:rsid w:val="0028258E"/>
    <w:rsid w:val="00283DE0"/>
    <w:rsid w:val="00285633"/>
    <w:rsid w:val="00290FE6"/>
    <w:rsid w:val="00291085"/>
    <w:rsid w:val="0029213E"/>
    <w:rsid w:val="0029575D"/>
    <w:rsid w:val="00296646"/>
    <w:rsid w:val="002966FA"/>
    <w:rsid w:val="00297217"/>
    <w:rsid w:val="002A3DF2"/>
    <w:rsid w:val="002A4079"/>
    <w:rsid w:val="002A57D3"/>
    <w:rsid w:val="002A63C8"/>
    <w:rsid w:val="002B1697"/>
    <w:rsid w:val="002B2710"/>
    <w:rsid w:val="002B3300"/>
    <w:rsid w:val="002B6B5C"/>
    <w:rsid w:val="002B7FD7"/>
    <w:rsid w:val="002C1173"/>
    <w:rsid w:val="002C187E"/>
    <w:rsid w:val="002C2796"/>
    <w:rsid w:val="002C3218"/>
    <w:rsid w:val="002C3897"/>
    <w:rsid w:val="002C6BB7"/>
    <w:rsid w:val="002D758E"/>
    <w:rsid w:val="002E028E"/>
    <w:rsid w:val="002E26A8"/>
    <w:rsid w:val="002E2DB5"/>
    <w:rsid w:val="002E3646"/>
    <w:rsid w:val="002E5784"/>
    <w:rsid w:val="002E648F"/>
    <w:rsid w:val="002F08EC"/>
    <w:rsid w:val="002F38FF"/>
    <w:rsid w:val="002F76AF"/>
    <w:rsid w:val="002F79BB"/>
    <w:rsid w:val="00300A57"/>
    <w:rsid w:val="003018DF"/>
    <w:rsid w:val="00301C3F"/>
    <w:rsid w:val="0030458D"/>
    <w:rsid w:val="00304933"/>
    <w:rsid w:val="00305E13"/>
    <w:rsid w:val="00310230"/>
    <w:rsid w:val="00310B01"/>
    <w:rsid w:val="00310E95"/>
    <w:rsid w:val="00311CAE"/>
    <w:rsid w:val="00312B14"/>
    <w:rsid w:val="00315DEF"/>
    <w:rsid w:val="00316554"/>
    <w:rsid w:val="00322F67"/>
    <w:rsid w:val="00324FB1"/>
    <w:rsid w:val="00325951"/>
    <w:rsid w:val="00326FA3"/>
    <w:rsid w:val="003303C8"/>
    <w:rsid w:val="003306E0"/>
    <w:rsid w:val="003310E2"/>
    <w:rsid w:val="003329A3"/>
    <w:rsid w:val="00332B8F"/>
    <w:rsid w:val="0033394A"/>
    <w:rsid w:val="0033551C"/>
    <w:rsid w:val="0033584F"/>
    <w:rsid w:val="0033739C"/>
    <w:rsid w:val="00337914"/>
    <w:rsid w:val="003423A0"/>
    <w:rsid w:val="00342A55"/>
    <w:rsid w:val="00343C99"/>
    <w:rsid w:val="00343DB0"/>
    <w:rsid w:val="00344B08"/>
    <w:rsid w:val="003465D9"/>
    <w:rsid w:val="00351FB9"/>
    <w:rsid w:val="0035315A"/>
    <w:rsid w:val="003536F8"/>
    <w:rsid w:val="00354A2A"/>
    <w:rsid w:val="00354BD1"/>
    <w:rsid w:val="003558DF"/>
    <w:rsid w:val="003577B9"/>
    <w:rsid w:val="0036092F"/>
    <w:rsid w:val="00361E87"/>
    <w:rsid w:val="003636A3"/>
    <w:rsid w:val="00364C74"/>
    <w:rsid w:val="00371A46"/>
    <w:rsid w:val="00372A88"/>
    <w:rsid w:val="00377475"/>
    <w:rsid w:val="0038142E"/>
    <w:rsid w:val="003819E0"/>
    <w:rsid w:val="003839FD"/>
    <w:rsid w:val="003875F7"/>
    <w:rsid w:val="00390A09"/>
    <w:rsid w:val="00392F50"/>
    <w:rsid w:val="003957CF"/>
    <w:rsid w:val="00395D27"/>
    <w:rsid w:val="003A20E2"/>
    <w:rsid w:val="003A2477"/>
    <w:rsid w:val="003A2718"/>
    <w:rsid w:val="003A5EDA"/>
    <w:rsid w:val="003A74C1"/>
    <w:rsid w:val="003A74F5"/>
    <w:rsid w:val="003A76AD"/>
    <w:rsid w:val="003B2216"/>
    <w:rsid w:val="003B2492"/>
    <w:rsid w:val="003B29C2"/>
    <w:rsid w:val="003B6AB4"/>
    <w:rsid w:val="003B6BFB"/>
    <w:rsid w:val="003B6D76"/>
    <w:rsid w:val="003C1344"/>
    <w:rsid w:val="003D1233"/>
    <w:rsid w:val="003D274C"/>
    <w:rsid w:val="003D33B5"/>
    <w:rsid w:val="003D5871"/>
    <w:rsid w:val="003D7AAE"/>
    <w:rsid w:val="003E1CF0"/>
    <w:rsid w:val="003E2208"/>
    <w:rsid w:val="003E220C"/>
    <w:rsid w:val="003E23F9"/>
    <w:rsid w:val="003E3341"/>
    <w:rsid w:val="003E4C71"/>
    <w:rsid w:val="003E7697"/>
    <w:rsid w:val="003E78C5"/>
    <w:rsid w:val="003F3C37"/>
    <w:rsid w:val="004044E9"/>
    <w:rsid w:val="004050D1"/>
    <w:rsid w:val="00405869"/>
    <w:rsid w:val="00406250"/>
    <w:rsid w:val="00410940"/>
    <w:rsid w:val="00415D3F"/>
    <w:rsid w:val="00416CE4"/>
    <w:rsid w:val="004203A5"/>
    <w:rsid w:val="00421D92"/>
    <w:rsid w:val="00422193"/>
    <w:rsid w:val="004232FE"/>
    <w:rsid w:val="004238EB"/>
    <w:rsid w:val="00424F72"/>
    <w:rsid w:val="0043198B"/>
    <w:rsid w:val="00433A66"/>
    <w:rsid w:val="004429B1"/>
    <w:rsid w:val="004446FE"/>
    <w:rsid w:val="00444D67"/>
    <w:rsid w:val="004470D8"/>
    <w:rsid w:val="00453C3F"/>
    <w:rsid w:val="00454081"/>
    <w:rsid w:val="00456BA4"/>
    <w:rsid w:val="00460017"/>
    <w:rsid w:val="00462E55"/>
    <w:rsid w:val="0046413D"/>
    <w:rsid w:val="00466DC0"/>
    <w:rsid w:val="0047165E"/>
    <w:rsid w:val="00475E50"/>
    <w:rsid w:val="00476248"/>
    <w:rsid w:val="00481764"/>
    <w:rsid w:val="0048499B"/>
    <w:rsid w:val="004907AE"/>
    <w:rsid w:val="00490BB2"/>
    <w:rsid w:val="00490C18"/>
    <w:rsid w:val="00494B76"/>
    <w:rsid w:val="00495D29"/>
    <w:rsid w:val="004966DC"/>
    <w:rsid w:val="00497A32"/>
    <w:rsid w:val="004A092E"/>
    <w:rsid w:val="004B496B"/>
    <w:rsid w:val="004B5C4C"/>
    <w:rsid w:val="004B5EFE"/>
    <w:rsid w:val="004B665D"/>
    <w:rsid w:val="004B7E67"/>
    <w:rsid w:val="004C0AA1"/>
    <w:rsid w:val="004C372A"/>
    <w:rsid w:val="004C3AFB"/>
    <w:rsid w:val="004C4759"/>
    <w:rsid w:val="004C594B"/>
    <w:rsid w:val="004C5E01"/>
    <w:rsid w:val="004D1FC0"/>
    <w:rsid w:val="004D2CE2"/>
    <w:rsid w:val="004D5603"/>
    <w:rsid w:val="004E040D"/>
    <w:rsid w:val="004E0F1F"/>
    <w:rsid w:val="004E5F27"/>
    <w:rsid w:val="004F201A"/>
    <w:rsid w:val="004F4B54"/>
    <w:rsid w:val="004F55B1"/>
    <w:rsid w:val="004F5EC6"/>
    <w:rsid w:val="004F7648"/>
    <w:rsid w:val="0050557B"/>
    <w:rsid w:val="00507889"/>
    <w:rsid w:val="00510172"/>
    <w:rsid w:val="005106C2"/>
    <w:rsid w:val="00511729"/>
    <w:rsid w:val="00513ADD"/>
    <w:rsid w:val="00514F13"/>
    <w:rsid w:val="005159F9"/>
    <w:rsid w:val="005200F5"/>
    <w:rsid w:val="00522C52"/>
    <w:rsid w:val="00526D8D"/>
    <w:rsid w:val="00531724"/>
    <w:rsid w:val="00532315"/>
    <w:rsid w:val="00535EDA"/>
    <w:rsid w:val="0054129D"/>
    <w:rsid w:val="005414A3"/>
    <w:rsid w:val="0054532F"/>
    <w:rsid w:val="00545B78"/>
    <w:rsid w:val="00550454"/>
    <w:rsid w:val="005504E4"/>
    <w:rsid w:val="0055464F"/>
    <w:rsid w:val="00556F66"/>
    <w:rsid w:val="005660B5"/>
    <w:rsid w:val="00567B1D"/>
    <w:rsid w:val="00572802"/>
    <w:rsid w:val="0057799D"/>
    <w:rsid w:val="00583F6B"/>
    <w:rsid w:val="00584264"/>
    <w:rsid w:val="0059125E"/>
    <w:rsid w:val="00591762"/>
    <w:rsid w:val="005934BB"/>
    <w:rsid w:val="005A006F"/>
    <w:rsid w:val="005A1451"/>
    <w:rsid w:val="005A280D"/>
    <w:rsid w:val="005A3604"/>
    <w:rsid w:val="005A4152"/>
    <w:rsid w:val="005A75B7"/>
    <w:rsid w:val="005B045C"/>
    <w:rsid w:val="005B1253"/>
    <w:rsid w:val="005B1496"/>
    <w:rsid w:val="005B387A"/>
    <w:rsid w:val="005B4229"/>
    <w:rsid w:val="005B4399"/>
    <w:rsid w:val="005B4F69"/>
    <w:rsid w:val="005B7771"/>
    <w:rsid w:val="005C2EC5"/>
    <w:rsid w:val="005C4C5C"/>
    <w:rsid w:val="005C6A8C"/>
    <w:rsid w:val="005C72C5"/>
    <w:rsid w:val="005D0B30"/>
    <w:rsid w:val="005D1477"/>
    <w:rsid w:val="005D2F3B"/>
    <w:rsid w:val="005D3B31"/>
    <w:rsid w:val="005D644D"/>
    <w:rsid w:val="005D737B"/>
    <w:rsid w:val="005E1D59"/>
    <w:rsid w:val="005E2F6D"/>
    <w:rsid w:val="005E3FE9"/>
    <w:rsid w:val="005E4A4D"/>
    <w:rsid w:val="005E64C5"/>
    <w:rsid w:val="005F1A59"/>
    <w:rsid w:val="005F55C7"/>
    <w:rsid w:val="005F653E"/>
    <w:rsid w:val="005F6B07"/>
    <w:rsid w:val="005F6FFC"/>
    <w:rsid w:val="005F7800"/>
    <w:rsid w:val="0060061A"/>
    <w:rsid w:val="00601381"/>
    <w:rsid w:val="0060201F"/>
    <w:rsid w:val="00602DEE"/>
    <w:rsid w:val="00603DF3"/>
    <w:rsid w:val="00607764"/>
    <w:rsid w:val="00610CEE"/>
    <w:rsid w:val="006140A4"/>
    <w:rsid w:val="00614A3F"/>
    <w:rsid w:val="00614F51"/>
    <w:rsid w:val="006156F6"/>
    <w:rsid w:val="00616F28"/>
    <w:rsid w:val="00617CAA"/>
    <w:rsid w:val="00623E6F"/>
    <w:rsid w:val="00630AAF"/>
    <w:rsid w:val="00630AFC"/>
    <w:rsid w:val="00632904"/>
    <w:rsid w:val="00633E84"/>
    <w:rsid w:val="0063592C"/>
    <w:rsid w:val="00636522"/>
    <w:rsid w:val="006379B7"/>
    <w:rsid w:val="00640206"/>
    <w:rsid w:val="00645AA4"/>
    <w:rsid w:val="006466E5"/>
    <w:rsid w:val="0064798B"/>
    <w:rsid w:val="006514A1"/>
    <w:rsid w:val="0065197B"/>
    <w:rsid w:val="0065327F"/>
    <w:rsid w:val="0066163D"/>
    <w:rsid w:val="00667C33"/>
    <w:rsid w:val="006707D7"/>
    <w:rsid w:val="0067551C"/>
    <w:rsid w:val="00680107"/>
    <w:rsid w:val="00680E6B"/>
    <w:rsid w:val="00681B62"/>
    <w:rsid w:val="00682B38"/>
    <w:rsid w:val="006832B2"/>
    <w:rsid w:val="00684962"/>
    <w:rsid w:val="0068586D"/>
    <w:rsid w:val="00686609"/>
    <w:rsid w:val="00686843"/>
    <w:rsid w:val="006906EB"/>
    <w:rsid w:val="00692934"/>
    <w:rsid w:val="00692AEF"/>
    <w:rsid w:val="0069361B"/>
    <w:rsid w:val="00694A29"/>
    <w:rsid w:val="0069554E"/>
    <w:rsid w:val="00695DED"/>
    <w:rsid w:val="006A16CD"/>
    <w:rsid w:val="006A30A9"/>
    <w:rsid w:val="006A71EF"/>
    <w:rsid w:val="006B0CBE"/>
    <w:rsid w:val="006B0DF9"/>
    <w:rsid w:val="006B1097"/>
    <w:rsid w:val="006B28CD"/>
    <w:rsid w:val="006B5849"/>
    <w:rsid w:val="006B61E1"/>
    <w:rsid w:val="006D1515"/>
    <w:rsid w:val="006D1C26"/>
    <w:rsid w:val="006D3247"/>
    <w:rsid w:val="006E141E"/>
    <w:rsid w:val="006E1D8B"/>
    <w:rsid w:val="006E6D73"/>
    <w:rsid w:val="006F735B"/>
    <w:rsid w:val="006F76F1"/>
    <w:rsid w:val="00702055"/>
    <w:rsid w:val="0070220C"/>
    <w:rsid w:val="0070360F"/>
    <w:rsid w:val="00706897"/>
    <w:rsid w:val="007068CC"/>
    <w:rsid w:val="00712F46"/>
    <w:rsid w:val="00716EEA"/>
    <w:rsid w:val="007174B3"/>
    <w:rsid w:val="00722873"/>
    <w:rsid w:val="0072741F"/>
    <w:rsid w:val="007279DA"/>
    <w:rsid w:val="00734E9B"/>
    <w:rsid w:val="00742443"/>
    <w:rsid w:val="00742754"/>
    <w:rsid w:val="00742FCE"/>
    <w:rsid w:val="00745362"/>
    <w:rsid w:val="007527E9"/>
    <w:rsid w:val="00755EB4"/>
    <w:rsid w:val="007575AF"/>
    <w:rsid w:val="00757670"/>
    <w:rsid w:val="00760EE0"/>
    <w:rsid w:val="00761A2B"/>
    <w:rsid w:val="0076577A"/>
    <w:rsid w:val="00766743"/>
    <w:rsid w:val="007719C7"/>
    <w:rsid w:val="00772834"/>
    <w:rsid w:val="007729D7"/>
    <w:rsid w:val="00774DA9"/>
    <w:rsid w:val="00777308"/>
    <w:rsid w:val="0077756B"/>
    <w:rsid w:val="007801BC"/>
    <w:rsid w:val="00783811"/>
    <w:rsid w:val="0078769A"/>
    <w:rsid w:val="007902FC"/>
    <w:rsid w:val="007908C0"/>
    <w:rsid w:val="0079113C"/>
    <w:rsid w:val="007938F2"/>
    <w:rsid w:val="0079424F"/>
    <w:rsid w:val="00795E58"/>
    <w:rsid w:val="007A0340"/>
    <w:rsid w:val="007A0798"/>
    <w:rsid w:val="007A097C"/>
    <w:rsid w:val="007A2358"/>
    <w:rsid w:val="007A3449"/>
    <w:rsid w:val="007A63C5"/>
    <w:rsid w:val="007A7E57"/>
    <w:rsid w:val="007B1097"/>
    <w:rsid w:val="007B1A7A"/>
    <w:rsid w:val="007B1BE7"/>
    <w:rsid w:val="007B2D99"/>
    <w:rsid w:val="007B301A"/>
    <w:rsid w:val="007B36B4"/>
    <w:rsid w:val="007C0D1C"/>
    <w:rsid w:val="007C5879"/>
    <w:rsid w:val="007D020C"/>
    <w:rsid w:val="007D3740"/>
    <w:rsid w:val="007D3742"/>
    <w:rsid w:val="007D4A4F"/>
    <w:rsid w:val="007D4FCF"/>
    <w:rsid w:val="007D5ABB"/>
    <w:rsid w:val="007D666E"/>
    <w:rsid w:val="007D6BD6"/>
    <w:rsid w:val="007E0312"/>
    <w:rsid w:val="007E1570"/>
    <w:rsid w:val="007E25F1"/>
    <w:rsid w:val="007E7CA5"/>
    <w:rsid w:val="007F1881"/>
    <w:rsid w:val="007F194B"/>
    <w:rsid w:val="007F3FA3"/>
    <w:rsid w:val="007F5DED"/>
    <w:rsid w:val="00804AFD"/>
    <w:rsid w:val="00804FBC"/>
    <w:rsid w:val="00805FAF"/>
    <w:rsid w:val="008064CE"/>
    <w:rsid w:val="00806654"/>
    <w:rsid w:val="00812E8C"/>
    <w:rsid w:val="00813E80"/>
    <w:rsid w:val="008163EE"/>
    <w:rsid w:val="008168F1"/>
    <w:rsid w:val="00816A3A"/>
    <w:rsid w:val="00817CEE"/>
    <w:rsid w:val="00820719"/>
    <w:rsid w:val="00821A96"/>
    <w:rsid w:val="00822796"/>
    <w:rsid w:val="00822DF7"/>
    <w:rsid w:val="00825612"/>
    <w:rsid w:val="00826A11"/>
    <w:rsid w:val="008271DD"/>
    <w:rsid w:val="00831FA3"/>
    <w:rsid w:val="00832937"/>
    <w:rsid w:val="00833404"/>
    <w:rsid w:val="00833EE8"/>
    <w:rsid w:val="00835CAF"/>
    <w:rsid w:val="00837CB6"/>
    <w:rsid w:val="00840ED4"/>
    <w:rsid w:val="008418A1"/>
    <w:rsid w:val="008418A3"/>
    <w:rsid w:val="0084218C"/>
    <w:rsid w:val="00844B0A"/>
    <w:rsid w:val="00846648"/>
    <w:rsid w:val="00846A44"/>
    <w:rsid w:val="00846D10"/>
    <w:rsid w:val="00851896"/>
    <w:rsid w:val="00853255"/>
    <w:rsid w:val="0085541A"/>
    <w:rsid w:val="00855DF1"/>
    <w:rsid w:val="0086110A"/>
    <w:rsid w:val="008612D6"/>
    <w:rsid w:val="00861B6F"/>
    <w:rsid w:val="008630C4"/>
    <w:rsid w:val="00864949"/>
    <w:rsid w:val="00872C46"/>
    <w:rsid w:val="00875D2C"/>
    <w:rsid w:val="00880619"/>
    <w:rsid w:val="008825DD"/>
    <w:rsid w:val="00884707"/>
    <w:rsid w:val="00885967"/>
    <w:rsid w:val="008877D4"/>
    <w:rsid w:val="008879C4"/>
    <w:rsid w:val="00890786"/>
    <w:rsid w:val="00890BCF"/>
    <w:rsid w:val="00891FF5"/>
    <w:rsid w:val="008944CD"/>
    <w:rsid w:val="00897BC6"/>
    <w:rsid w:val="008A0A80"/>
    <w:rsid w:val="008A1E29"/>
    <w:rsid w:val="008A365C"/>
    <w:rsid w:val="008A49FA"/>
    <w:rsid w:val="008A5A64"/>
    <w:rsid w:val="008A5EAE"/>
    <w:rsid w:val="008A6D05"/>
    <w:rsid w:val="008B2068"/>
    <w:rsid w:val="008B4FB6"/>
    <w:rsid w:val="008B6409"/>
    <w:rsid w:val="008B70A2"/>
    <w:rsid w:val="008C2911"/>
    <w:rsid w:val="008C2D2D"/>
    <w:rsid w:val="008C3580"/>
    <w:rsid w:val="008C7FB8"/>
    <w:rsid w:val="008D122C"/>
    <w:rsid w:val="008D1722"/>
    <w:rsid w:val="008D3F07"/>
    <w:rsid w:val="008D56E3"/>
    <w:rsid w:val="008D5F6B"/>
    <w:rsid w:val="008D7CDD"/>
    <w:rsid w:val="008E3B41"/>
    <w:rsid w:val="008E48CF"/>
    <w:rsid w:val="008F0DAC"/>
    <w:rsid w:val="008F4059"/>
    <w:rsid w:val="00907BC3"/>
    <w:rsid w:val="00914C01"/>
    <w:rsid w:val="00917918"/>
    <w:rsid w:val="009206E6"/>
    <w:rsid w:val="00922889"/>
    <w:rsid w:val="00923D30"/>
    <w:rsid w:val="0092750A"/>
    <w:rsid w:val="00932903"/>
    <w:rsid w:val="0093526E"/>
    <w:rsid w:val="00936459"/>
    <w:rsid w:val="009417A2"/>
    <w:rsid w:val="009436EA"/>
    <w:rsid w:val="00944FAD"/>
    <w:rsid w:val="009451BC"/>
    <w:rsid w:val="009465F4"/>
    <w:rsid w:val="00946D8D"/>
    <w:rsid w:val="00947620"/>
    <w:rsid w:val="00947BA9"/>
    <w:rsid w:val="00950960"/>
    <w:rsid w:val="009510EF"/>
    <w:rsid w:val="0095192C"/>
    <w:rsid w:val="009528E0"/>
    <w:rsid w:val="00953872"/>
    <w:rsid w:val="00953F4D"/>
    <w:rsid w:val="00955146"/>
    <w:rsid w:val="00956671"/>
    <w:rsid w:val="00960F63"/>
    <w:rsid w:val="0096124D"/>
    <w:rsid w:val="00962C3D"/>
    <w:rsid w:val="00963D45"/>
    <w:rsid w:val="0096629A"/>
    <w:rsid w:val="00970F2A"/>
    <w:rsid w:val="00971E42"/>
    <w:rsid w:val="00973435"/>
    <w:rsid w:val="00973C57"/>
    <w:rsid w:val="00974D59"/>
    <w:rsid w:val="00977BA5"/>
    <w:rsid w:val="00977BC9"/>
    <w:rsid w:val="00982B92"/>
    <w:rsid w:val="00984BD9"/>
    <w:rsid w:val="00991E03"/>
    <w:rsid w:val="00992CD8"/>
    <w:rsid w:val="00993D5F"/>
    <w:rsid w:val="00994D72"/>
    <w:rsid w:val="009959F2"/>
    <w:rsid w:val="00995C51"/>
    <w:rsid w:val="0099749E"/>
    <w:rsid w:val="00997AC3"/>
    <w:rsid w:val="009B04DF"/>
    <w:rsid w:val="009B0949"/>
    <w:rsid w:val="009B0DD6"/>
    <w:rsid w:val="009B22E6"/>
    <w:rsid w:val="009B248F"/>
    <w:rsid w:val="009B4DFE"/>
    <w:rsid w:val="009B609B"/>
    <w:rsid w:val="009B69B0"/>
    <w:rsid w:val="009C049E"/>
    <w:rsid w:val="009C19B6"/>
    <w:rsid w:val="009C4679"/>
    <w:rsid w:val="009D2AF7"/>
    <w:rsid w:val="009D35D0"/>
    <w:rsid w:val="009D6E33"/>
    <w:rsid w:val="009E0A17"/>
    <w:rsid w:val="009E2D48"/>
    <w:rsid w:val="009E4721"/>
    <w:rsid w:val="009E481E"/>
    <w:rsid w:val="009E49E6"/>
    <w:rsid w:val="009E566C"/>
    <w:rsid w:val="009E62BA"/>
    <w:rsid w:val="009F3BD2"/>
    <w:rsid w:val="009F448D"/>
    <w:rsid w:val="009F59E0"/>
    <w:rsid w:val="00A00915"/>
    <w:rsid w:val="00A0180E"/>
    <w:rsid w:val="00A03882"/>
    <w:rsid w:val="00A06B1D"/>
    <w:rsid w:val="00A11604"/>
    <w:rsid w:val="00A159D4"/>
    <w:rsid w:val="00A169FE"/>
    <w:rsid w:val="00A176DB"/>
    <w:rsid w:val="00A2077D"/>
    <w:rsid w:val="00A22432"/>
    <w:rsid w:val="00A246F0"/>
    <w:rsid w:val="00A249DF"/>
    <w:rsid w:val="00A3286E"/>
    <w:rsid w:val="00A35C99"/>
    <w:rsid w:val="00A40FB0"/>
    <w:rsid w:val="00A43C45"/>
    <w:rsid w:val="00A449B8"/>
    <w:rsid w:val="00A4513B"/>
    <w:rsid w:val="00A5066E"/>
    <w:rsid w:val="00A52533"/>
    <w:rsid w:val="00A52FED"/>
    <w:rsid w:val="00A5431B"/>
    <w:rsid w:val="00A54C34"/>
    <w:rsid w:val="00A55138"/>
    <w:rsid w:val="00A62346"/>
    <w:rsid w:val="00A6393A"/>
    <w:rsid w:val="00A64FB8"/>
    <w:rsid w:val="00A65E3C"/>
    <w:rsid w:val="00A66252"/>
    <w:rsid w:val="00A711C6"/>
    <w:rsid w:val="00A73E32"/>
    <w:rsid w:val="00A749A4"/>
    <w:rsid w:val="00A74F2E"/>
    <w:rsid w:val="00A775D8"/>
    <w:rsid w:val="00A8770E"/>
    <w:rsid w:val="00A912D5"/>
    <w:rsid w:val="00A919D7"/>
    <w:rsid w:val="00A93031"/>
    <w:rsid w:val="00A93F50"/>
    <w:rsid w:val="00A9467A"/>
    <w:rsid w:val="00A9636B"/>
    <w:rsid w:val="00AA0062"/>
    <w:rsid w:val="00AB0181"/>
    <w:rsid w:val="00AB038B"/>
    <w:rsid w:val="00AB1CAB"/>
    <w:rsid w:val="00AB550C"/>
    <w:rsid w:val="00AB560A"/>
    <w:rsid w:val="00AB6495"/>
    <w:rsid w:val="00AB6E49"/>
    <w:rsid w:val="00AB7725"/>
    <w:rsid w:val="00AC3141"/>
    <w:rsid w:val="00AC3F4E"/>
    <w:rsid w:val="00AC469D"/>
    <w:rsid w:val="00AC58BD"/>
    <w:rsid w:val="00AC778C"/>
    <w:rsid w:val="00AD19E6"/>
    <w:rsid w:val="00AD7224"/>
    <w:rsid w:val="00AE6BDA"/>
    <w:rsid w:val="00AF2BE8"/>
    <w:rsid w:val="00AF5759"/>
    <w:rsid w:val="00AF5C7C"/>
    <w:rsid w:val="00AF74CB"/>
    <w:rsid w:val="00AF7961"/>
    <w:rsid w:val="00B0190F"/>
    <w:rsid w:val="00B040EC"/>
    <w:rsid w:val="00B05CE3"/>
    <w:rsid w:val="00B06253"/>
    <w:rsid w:val="00B06F7B"/>
    <w:rsid w:val="00B076D6"/>
    <w:rsid w:val="00B121FD"/>
    <w:rsid w:val="00B12B4A"/>
    <w:rsid w:val="00B14568"/>
    <w:rsid w:val="00B17715"/>
    <w:rsid w:val="00B22562"/>
    <w:rsid w:val="00B23B61"/>
    <w:rsid w:val="00B248E8"/>
    <w:rsid w:val="00B436ED"/>
    <w:rsid w:val="00B43819"/>
    <w:rsid w:val="00B45093"/>
    <w:rsid w:val="00B47642"/>
    <w:rsid w:val="00B51A82"/>
    <w:rsid w:val="00B531A8"/>
    <w:rsid w:val="00B57AE5"/>
    <w:rsid w:val="00B60E2E"/>
    <w:rsid w:val="00B61CC4"/>
    <w:rsid w:val="00B652CF"/>
    <w:rsid w:val="00B67E21"/>
    <w:rsid w:val="00B71385"/>
    <w:rsid w:val="00B71E2B"/>
    <w:rsid w:val="00B72BDB"/>
    <w:rsid w:val="00B773E8"/>
    <w:rsid w:val="00B8002F"/>
    <w:rsid w:val="00B800D4"/>
    <w:rsid w:val="00B81C0E"/>
    <w:rsid w:val="00B82437"/>
    <w:rsid w:val="00B82B40"/>
    <w:rsid w:val="00B87AF1"/>
    <w:rsid w:val="00B91284"/>
    <w:rsid w:val="00B94466"/>
    <w:rsid w:val="00B94952"/>
    <w:rsid w:val="00B977C5"/>
    <w:rsid w:val="00BA047C"/>
    <w:rsid w:val="00BA224A"/>
    <w:rsid w:val="00BA326C"/>
    <w:rsid w:val="00BA6BBE"/>
    <w:rsid w:val="00BB2E97"/>
    <w:rsid w:val="00BB5475"/>
    <w:rsid w:val="00BB5BB1"/>
    <w:rsid w:val="00BB5BC7"/>
    <w:rsid w:val="00BC0404"/>
    <w:rsid w:val="00BC0EFB"/>
    <w:rsid w:val="00BC26AC"/>
    <w:rsid w:val="00BC321C"/>
    <w:rsid w:val="00BC4BED"/>
    <w:rsid w:val="00BC6FF6"/>
    <w:rsid w:val="00BC7C0F"/>
    <w:rsid w:val="00BD03D1"/>
    <w:rsid w:val="00BD0659"/>
    <w:rsid w:val="00BD4F3C"/>
    <w:rsid w:val="00BD5A1A"/>
    <w:rsid w:val="00BD6608"/>
    <w:rsid w:val="00BD6D35"/>
    <w:rsid w:val="00BE0256"/>
    <w:rsid w:val="00BE55B6"/>
    <w:rsid w:val="00BE5BA9"/>
    <w:rsid w:val="00BF1510"/>
    <w:rsid w:val="00BF24EA"/>
    <w:rsid w:val="00BF53D7"/>
    <w:rsid w:val="00C022E0"/>
    <w:rsid w:val="00C037D7"/>
    <w:rsid w:val="00C06367"/>
    <w:rsid w:val="00C0727F"/>
    <w:rsid w:val="00C11438"/>
    <w:rsid w:val="00C11F8D"/>
    <w:rsid w:val="00C145B3"/>
    <w:rsid w:val="00C1543B"/>
    <w:rsid w:val="00C16B05"/>
    <w:rsid w:val="00C17B16"/>
    <w:rsid w:val="00C17F58"/>
    <w:rsid w:val="00C2003F"/>
    <w:rsid w:val="00C231BC"/>
    <w:rsid w:val="00C24105"/>
    <w:rsid w:val="00C24280"/>
    <w:rsid w:val="00C25BB5"/>
    <w:rsid w:val="00C311FF"/>
    <w:rsid w:val="00C31857"/>
    <w:rsid w:val="00C32522"/>
    <w:rsid w:val="00C32663"/>
    <w:rsid w:val="00C340ED"/>
    <w:rsid w:val="00C345E3"/>
    <w:rsid w:val="00C418AF"/>
    <w:rsid w:val="00C422B3"/>
    <w:rsid w:val="00C44533"/>
    <w:rsid w:val="00C46210"/>
    <w:rsid w:val="00C46539"/>
    <w:rsid w:val="00C51A14"/>
    <w:rsid w:val="00C53234"/>
    <w:rsid w:val="00C551E1"/>
    <w:rsid w:val="00C5543F"/>
    <w:rsid w:val="00C6040A"/>
    <w:rsid w:val="00C6116C"/>
    <w:rsid w:val="00C63750"/>
    <w:rsid w:val="00C63836"/>
    <w:rsid w:val="00C65263"/>
    <w:rsid w:val="00C65DE1"/>
    <w:rsid w:val="00C66179"/>
    <w:rsid w:val="00C71917"/>
    <w:rsid w:val="00C73544"/>
    <w:rsid w:val="00C74BED"/>
    <w:rsid w:val="00C771EC"/>
    <w:rsid w:val="00C80C6B"/>
    <w:rsid w:val="00C80F39"/>
    <w:rsid w:val="00C8223C"/>
    <w:rsid w:val="00C84525"/>
    <w:rsid w:val="00C84921"/>
    <w:rsid w:val="00C87C1C"/>
    <w:rsid w:val="00C91E70"/>
    <w:rsid w:val="00C9409F"/>
    <w:rsid w:val="00C95373"/>
    <w:rsid w:val="00C969D6"/>
    <w:rsid w:val="00CA302C"/>
    <w:rsid w:val="00CA4EE5"/>
    <w:rsid w:val="00CA54AE"/>
    <w:rsid w:val="00CA5D55"/>
    <w:rsid w:val="00CA6346"/>
    <w:rsid w:val="00CA7DD6"/>
    <w:rsid w:val="00CB0939"/>
    <w:rsid w:val="00CB178B"/>
    <w:rsid w:val="00CB6CF0"/>
    <w:rsid w:val="00CB6EA6"/>
    <w:rsid w:val="00CB74CA"/>
    <w:rsid w:val="00CB7C24"/>
    <w:rsid w:val="00CC494A"/>
    <w:rsid w:val="00CC790A"/>
    <w:rsid w:val="00CC7EE5"/>
    <w:rsid w:val="00CD2469"/>
    <w:rsid w:val="00CD2C29"/>
    <w:rsid w:val="00CD56A8"/>
    <w:rsid w:val="00CE0E25"/>
    <w:rsid w:val="00CE0E77"/>
    <w:rsid w:val="00CE3E0B"/>
    <w:rsid w:val="00CE4064"/>
    <w:rsid w:val="00CE443B"/>
    <w:rsid w:val="00CE55B4"/>
    <w:rsid w:val="00CE5748"/>
    <w:rsid w:val="00CE6DDA"/>
    <w:rsid w:val="00CE7924"/>
    <w:rsid w:val="00CF00F1"/>
    <w:rsid w:val="00CF0603"/>
    <w:rsid w:val="00CF1657"/>
    <w:rsid w:val="00CF1AB4"/>
    <w:rsid w:val="00CF2371"/>
    <w:rsid w:val="00CF276E"/>
    <w:rsid w:val="00CF3C77"/>
    <w:rsid w:val="00CF536E"/>
    <w:rsid w:val="00D01090"/>
    <w:rsid w:val="00D01591"/>
    <w:rsid w:val="00D01903"/>
    <w:rsid w:val="00D0223E"/>
    <w:rsid w:val="00D02646"/>
    <w:rsid w:val="00D04A2D"/>
    <w:rsid w:val="00D1381A"/>
    <w:rsid w:val="00D13B1E"/>
    <w:rsid w:val="00D14428"/>
    <w:rsid w:val="00D14449"/>
    <w:rsid w:val="00D15A06"/>
    <w:rsid w:val="00D16ADA"/>
    <w:rsid w:val="00D16ECE"/>
    <w:rsid w:val="00D2126C"/>
    <w:rsid w:val="00D21373"/>
    <w:rsid w:val="00D226C8"/>
    <w:rsid w:val="00D23C26"/>
    <w:rsid w:val="00D25F05"/>
    <w:rsid w:val="00D26265"/>
    <w:rsid w:val="00D267A2"/>
    <w:rsid w:val="00D26BB5"/>
    <w:rsid w:val="00D31010"/>
    <w:rsid w:val="00D317F8"/>
    <w:rsid w:val="00D31922"/>
    <w:rsid w:val="00D32B65"/>
    <w:rsid w:val="00D32C0E"/>
    <w:rsid w:val="00D342CF"/>
    <w:rsid w:val="00D36119"/>
    <w:rsid w:val="00D3701C"/>
    <w:rsid w:val="00D406B2"/>
    <w:rsid w:val="00D41848"/>
    <w:rsid w:val="00D45329"/>
    <w:rsid w:val="00D457A9"/>
    <w:rsid w:val="00D46EAE"/>
    <w:rsid w:val="00D52C3E"/>
    <w:rsid w:val="00D70BDA"/>
    <w:rsid w:val="00D73883"/>
    <w:rsid w:val="00D76C52"/>
    <w:rsid w:val="00D822B2"/>
    <w:rsid w:val="00D91CB2"/>
    <w:rsid w:val="00D92D62"/>
    <w:rsid w:val="00D94AE8"/>
    <w:rsid w:val="00DA079D"/>
    <w:rsid w:val="00DA0900"/>
    <w:rsid w:val="00DA500D"/>
    <w:rsid w:val="00DB545D"/>
    <w:rsid w:val="00DC029B"/>
    <w:rsid w:val="00DC1516"/>
    <w:rsid w:val="00DC3B2E"/>
    <w:rsid w:val="00DC4FCF"/>
    <w:rsid w:val="00DC71B4"/>
    <w:rsid w:val="00DD18E9"/>
    <w:rsid w:val="00DD64E9"/>
    <w:rsid w:val="00DD6965"/>
    <w:rsid w:val="00DD6C03"/>
    <w:rsid w:val="00DD6DD3"/>
    <w:rsid w:val="00DD7223"/>
    <w:rsid w:val="00DD7DC5"/>
    <w:rsid w:val="00DE06BA"/>
    <w:rsid w:val="00DE2CA9"/>
    <w:rsid w:val="00DE3D5A"/>
    <w:rsid w:val="00DF258B"/>
    <w:rsid w:val="00DF2E8C"/>
    <w:rsid w:val="00DF4118"/>
    <w:rsid w:val="00DF69E2"/>
    <w:rsid w:val="00E0004F"/>
    <w:rsid w:val="00E01E18"/>
    <w:rsid w:val="00E05BC3"/>
    <w:rsid w:val="00E10840"/>
    <w:rsid w:val="00E11A77"/>
    <w:rsid w:val="00E1645F"/>
    <w:rsid w:val="00E27BCF"/>
    <w:rsid w:val="00E3381D"/>
    <w:rsid w:val="00E33E21"/>
    <w:rsid w:val="00E347A0"/>
    <w:rsid w:val="00E35063"/>
    <w:rsid w:val="00E41440"/>
    <w:rsid w:val="00E5137A"/>
    <w:rsid w:val="00E5429C"/>
    <w:rsid w:val="00E572E2"/>
    <w:rsid w:val="00E63DDD"/>
    <w:rsid w:val="00E646AC"/>
    <w:rsid w:val="00E72953"/>
    <w:rsid w:val="00E757EC"/>
    <w:rsid w:val="00E75CD0"/>
    <w:rsid w:val="00E77359"/>
    <w:rsid w:val="00E77DB9"/>
    <w:rsid w:val="00E8279B"/>
    <w:rsid w:val="00E82EB4"/>
    <w:rsid w:val="00E91579"/>
    <w:rsid w:val="00E91A8D"/>
    <w:rsid w:val="00E91EA6"/>
    <w:rsid w:val="00E938E2"/>
    <w:rsid w:val="00E95299"/>
    <w:rsid w:val="00E95A5A"/>
    <w:rsid w:val="00E97429"/>
    <w:rsid w:val="00E974BC"/>
    <w:rsid w:val="00EA08FC"/>
    <w:rsid w:val="00EA3E60"/>
    <w:rsid w:val="00EA41DD"/>
    <w:rsid w:val="00EA53BC"/>
    <w:rsid w:val="00EA5CF6"/>
    <w:rsid w:val="00EA6CE3"/>
    <w:rsid w:val="00EB06AB"/>
    <w:rsid w:val="00EB133C"/>
    <w:rsid w:val="00EB4225"/>
    <w:rsid w:val="00EB53A5"/>
    <w:rsid w:val="00EB62E7"/>
    <w:rsid w:val="00EB772E"/>
    <w:rsid w:val="00EB79AD"/>
    <w:rsid w:val="00EC0479"/>
    <w:rsid w:val="00EC07EB"/>
    <w:rsid w:val="00EC36F8"/>
    <w:rsid w:val="00EC5E06"/>
    <w:rsid w:val="00EC6E52"/>
    <w:rsid w:val="00ED1D33"/>
    <w:rsid w:val="00ED212E"/>
    <w:rsid w:val="00ED4D30"/>
    <w:rsid w:val="00ED7F59"/>
    <w:rsid w:val="00EE0536"/>
    <w:rsid w:val="00EF0128"/>
    <w:rsid w:val="00EF33F5"/>
    <w:rsid w:val="00EF58F9"/>
    <w:rsid w:val="00EF6022"/>
    <w:rsid w:val="00EF648D"/>
    <w:rsid w:val="00F008EE"/>
    <w:rsid w:val="00F027F8"/>
    <w:rsid w:val="00F04F74"/>
    <w:rsid w:val="00F058B7"/>
    <w:rsid w:val="00F065A8"/>
    <w:rsid w:val="00F075CF"/>
    <w:rsid w:val="00F07733"/>
    <w:rsid w:val="00F11B13"/>
    <w:rsid w:val="00F13C99"/>
    <w:rsid w:val="00F20A98"/>
    <w:rsid w:val="00F22834"/>
    <w:rsid w:val="00F235E3"/>
    <w:rsid w:val="00F23725"/>
    <w:rsid w:val="00F23859"/>
    <w:rsid w:val="00F24358"/>
    <w:rsid w:val="00F247EA"/>
    <w:rsid w:val="00F30EFF"/>
    <w:rsid w:val="00F3273C"/>
    <w:rsid w:val="00F32996"/>
    <w:rsid w:val="00F333A5"/>
    <w:rsid w:val="00F356E8"/>
    <w:rsid w:val="00F364EE"/>
    <w:rsid w:val="00F37259"/>
    <w:rsid w:val="00F37D9C"/>
    <w:rsid w:val="00F440C4"/>
    <w:rsid w:val="00F4437C"/>
    <w:rsid w:val="00F5323E"/>
    <w:rsid w:val="00F56BAE"/>
    <w:rsid w:val="00F56FAC"/>
    <w:rsid w:val="00F570A5"/>
    <w:rsid w:val="00F57F86"/>
    <w:rsid w:val="00F6190B"/>
    <w:rsid w:val="00F66683"/>
    <w:rsid w:val="00F7257A"/>
    <w:rsid w:val="00F73387"/>
    <w:rsid w:val="00F81235"/>
    <w:rsid w:val="00F831AD"/>
    <w:rsid w:val="00F83948"/>
    <w:rsid w:val="00F84C1C"/>
    <w:rsid w:val="00F86A56"/>
    <w:rsid w:val="00F86B8D"/>
    <w:rsid w:val="00F87571"/>
    <w:rsid w:val="00F926B7"/>
    <w:rsid w:val="00F93910"/>
    <w:rsid w:val="00F94AF7"/>
    <w:rsid w:val="00F94FA5"/>
    <w:rsid w:val="00F95C09"/>
    <w:rsid w:val="00FA2576"/>
    <w:rsid w:val="00FA4490"/>
    <w:rsid w:val="00FA5D12"/>
    <w:rsid w:val="00FA7599"/>
    <w:rsid w:val="00FB0A76"/>
    <w:rsid w:val="00FB4BC6"/>
    <w:rsid w:val="00FB610B"/>
    <w:rsid w:val="00FB7861"/>
    <w:rsid w:val="00FB7BA5"/>
    <w:rsid w:val="00FC31C7"/>
    <w:rsid w:val="00FC32FF"/>
    <w:rsid w:val="00FC33F7"/>
    <w:rsid w:val="00FC4028"/>
    <w:rsid w:val="00FC4643"/>
    <w:rsid w:val="00FC46FE"/>
    <w:rsid w:val="00FC74BC"/>
    <w:rsid w:val="00FD1D0E"/>
    <w:rsid w:val="00FD212F"/>
    <w:rsid w:val="00FD323A"/>
    <w:rsid w:val="00FD4667"/>
    <w:rsid w:val="00FE0D30"/>
    <w:rsid w:val="00FE1549"/>
    <w:rsid w:val="00FE30B8"/>
    <w:rsid w:val="00FE3689"/>
    <w:rsid w:val="00FE3C3A"/>
    <w:rsid w:val="00FE606F"/>
    <w:rsid w:val="00FF0402"/>
    <w:rsid w:val="00FF05AB"/>
    <w:rsid w:val="00FF4796"/>
    <w:rsid w:val="00FF50BD"/>
    <w:rsid w:val="00FF70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B2E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eastAsia="de-DE"/>
    </w:rPr>
  </w:style>
  <w:style w:type="character" w:customStyle="1" w:styleId="h41">
    <w:name w:val="h41"/>
    <w:rsid w:val="006466E5"/>
    <w:rPr>
      <w:b/>
      <w:bCs/>
      <w:color w:val="19194B"/>
      <w:sz w:val="23"/>
      <w:szCs w:val="23"/>
      <w:bdr w:val="none" w:sz="0" w:space="0" w:color="auto" w:frame="1"/>
    </w:rPr>
  </w:style>
  <w:style w:type="character" w:styleId="Kommentarzeichen">
    <w:name w:val="annotation reference"/>
    <w:basedOn w:val="Absatz-Standardschriftart"/>
    <w:rsid w:val="00237422"/>
    <w:rPr>
      <w:sz w:val="16"/>
      <w:szCs w:val="16"/>
    </w:rPr>
  </w:style>
  <w:style w:type="paragraph" w:styleId="Kommentartext">
    <w:name w:val="annotation text"/>
    <w:basedOn w:val="Standard"/>
    <w:link w:val="KommentartextZchn"/>
    <w:rsid w:val="00237422"/>
    <w:rPr>
      <w:sz w:val="20"/>
    </w:rPr>
  </w:style>
  <w:style w:type="character" w:customStyle="1" w:styleId="KommentartextZchn">
    <w:name w:val="Kommentartext Zchn"/>
    <w:basedOn w:val="Absatz-Standardschriftart"/>
    <w:link w:val="Kommentartext"/>
    <w:rsid w:val="00237422"/>
    <w:rPr>
      <w:lang w:val="en-US" w:eastAsia="en-US"/>
    </w:rPr>
  </w:style>
  <w:style w:type="paragraph" w:styleId="Kommentarthema">
    <w:name w:val="annotation subject"/>
    <w:basedOn w:val="Kommentartext"/>
    <w:next w:val="Kommentartext"/>
    <w:link w:val="KommentarthemaZchn"/>
    <w:rsid w:val="00237422"/>
    <w:rPr>
      <w:b/>
      <w:bCs/>
    </w:rPr>
  </w:style>
  <w:style w:type="character" w:customStyle="1" w:styleId="KommentarthemaZchn">
    <w:name w:val="Kommentarthema Zchn"/>
    <w:basedOn w:val="KommentartextZchn"/>
    <w:link w:val="Kommentarthema"/>
    <w:rsid w:val="00237422"/>
    <w:rPr>
      <w:b/>
      <w:bCs/>
      <w:lang w:val="en-US" w:eastAsia="en-US"/>
    </w:rPr>
  </w:style>
  <w:style w:type="paragraph" w:styleId="berarbeitung">
    <w:name w:val="Revision"/>
    <w:hidden/>
    <w:uiPriority w:val="99"/>
    <w:semiHidden/>
    <w:rsid w:val="00237422"/>
    <w:rPr>
      <w:sz w:val="24"/>
      <w:lang w:eastAsia="en-US"/>
    </w:rPr>
  </w:style>
  <w:style w:type="table" w:styleId="Tabellenraster">
    <w:name w:val="Table Grid"/>
    <w:basedOn w:val="NormaleTabelle"/>
    <w:rsid w:val="00335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496697514">
      <w:bodyDiv w:val="1"/>
      <w:marLeft w:val="0"/>
      <w:marRight w:val="0"/>
      <w:marTop w:val="0"/>
      <w:marBottom w:val="0"/>
      <w:divBdr>
        <w:top w:val="none" w:sz="0" w:space="0" w:color="auto"/>
        <w:left w:val="none" w:sz="0" w:space="0" w:color="auto"/>
        <w:bottom w:val="none" w:sz="0" w:space="0" w:color="auto"/>
        <w:right w:val="none" w:sz="0" w:space="0" w:color="auto"/>
      </w:divBdr>
    </w:div>
    <w:div w:id="17804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u.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9D836-0174-4C21-92A4-82A9D608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8089</Characters>
  <Application>Microsoft Office Word</Application>
  <DocSecurity>2</DocSecurity>
  <Lines>67</Lines>
  <Paragraphs>19</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9523</CharactersWithSpaces>
  <SharedDoc>false</SharedDoc>
  <HLinks>
    <vt:vector size="6" baseType="variant">
      <vt:variant>
        <vt:i4>7864431</vt:i4>
      </vt:variant>
      <vt:variant>
        <vt:i4>0</vt:i4>
      </vt:variant>
      <vt:variant>
        <vt:i4>0</vt:i4>
      </vt:variant>
      <vt:variant>
        <vt:i4>5</vt:i4>
      </vt:variant>
      <vt:variant>
        <vt:lpwstr>http://www.mtu.de/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creator/>
  <cp:lastModifiedBy/>
  <cp:revision>1</cp:revision>
  <cp:lastPrinted>2009-02-27T06:47:00Z</cp:lastPrinted>
  <dcterms:created xsi:type="dcterms:W3CDTF">2021-11-17T08:20:00Z</dcterms:created>
  <dcterms:modified xsi:type="dcterms:W3CDTF">2021-11-17T09:04:00Z</dcterms:modified>
</cp:coreProperties>
</file>